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7B7A7483" w14:textId="77777777" w:rsidR="00001798" w:rsidRPr="00001798" w:rsidRDefault="002D3274" w:rsidP="00001798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001798" w:rsidRPr="00001798">
        <w:rPr>
          <w:sz w:val="20"/>
          <w:szCs w:val="20"/>
          <w:u w:val="single"/>
        </w:rPr>
        <w:t>per titoli e colloquio, finalizzata alla stipula di n. 2 contratti di lavoro autonomo di natura occasionale, della durata di 4 mesi (febbraio 2026 - giugno 2026) per un totale di 40 ore, nell’ambito del progetto SEEDS – “Sowing NEETs’ protagonism towards green transition” - CUP D34D25004070007 - attività A3.2 Delivery of professional training courses (teacher).</w:t>
      </w:r>
    </w:p>
    <w:p w14:paraId="23D4BC6E" w14:textId="77777777" w:rsidR="00001798" w:rsidRPr="00001798" w:rsidRDefault="00001798" w:rsidP="00001798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001798">
        <w:rPr>
          <w:sz w:val="20"/>
          <w:szCs w:val="20"/>
          <w:u w:val="single"/>
        </w:rPr>
        <w:t>La prestazione consiste nello svolgimento delle seguenti attività:</w:t>
      </w:r>
    </w:p>
    <w:p w14:paraId="0AD9DFD5" w14:textId="334D7EBC" w:rsidR="00EC0C38" w:rsidRDefault="00001798" w:rsidP="00001798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001798">
        <w:rPr>
          <w:sz w:val="20"/>
          <w:szCs w:val="20"/>
          <w:u w:val="single"/>
        </w:rPr>
        <w:t>•  Formazione in aula per il modulo trasversale di sviluppo delle competenze trasversali e life skills previsto nei corsi di formazione “Operatore agricolo per la transizione verde” e “Operatore della ristorazione sostenibile”.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1798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45</cp:revision>
  <cp:lastPrinted>2018-06-13T15:30:00Z</cp:lastPrinted>
  <dcterms:created xsi:type="dcterms:W3CDTF">2021-03-19T08:55:00Z</dcterms:created>
  <dcterms:modified xsi:type="dcterms:W3CDTF">2026-01-27T12:43:00Z</dcterms:modified>
  <dc:language>it-IT</dc:language>
</cp:coreProperties>
</file>