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10F" w:rsidRDefault="00C5010F">
      <w:pPr>
        <w:pStyle w:val="Corpotesto"/>
        <w:spacing w:before="9"/>
        <w:rPr>
          <w:rFonts w:ascii="Times New Roman"/>
          <w:sz w:val="16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spacing w:before="1"/>
        <w:rPr>
          <w:b/>
          <w:sz w:val="19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rPr>
          <w:rFonts w:ascii="Tahoma"/>
          <w:b/>
          <w:sz w:val="20"/>
        </w:rPr>
      </w:pPr>
    </w:p>
    <w:p w:rsidR="00C5010F" w:rsidRDefault="00C5010F">
      <w:pPr>
        <w:pStyle w:val="Corpotesto"/>
        <w:spacing w:before="7"/>
        <w:rPr>
          <w:rFonts w:ascii="Tahoma"/>
          <w:b/>
          <w:sz w:val="19"/>
        </w:rPr>
      </w:pPr>
    </w:p>
    <w:p w:rsidR="00C5010F" w:rsidRP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72"/>
          <w:szCs w:val="72"/>
        </w:rPr>
      </w:pPr>
      <w:r w:rsidRPr="007D7814">
        <w:rPr>
          <w:rFonts w:asciiTheme="minorHAnsi" w:hAnsiTheme="minorHAnsi" w:cstheme="minorHAnsi"/>
          <w:b/>
          <w:sz w:val="72"/>
          <w:szCs w:val="72"/>
        </w:rPr>
        <w:t>UNIVERSITÀ</w:t>
      </w:r>
      <w:r w:rsidR="00233495" w:rsidRPr="007D7814">
        <w:rPr>
          <w:rFonts w:asciiTheme="minorHAnsi" w:hAnsiTheme="minorHAnsi" w:cstheme="minorHAnsi"/>
          <w:b/>
          <w:sz w:val="72"/>
          <w:szCs w:val="72"/>
        </w:rPr>
        <w:t xml:space="preserve"> DI FOGGIA</w:t>
      </w:r>
    </w:p>
    <w:p w:rsidR="00C5010F" w:rsidRDefault="00C5010F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Pr="007D7814" w:rsidRDefault="007D7814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7814" w:rsidRPr="007D7814" w:rsidRDefault="009759CA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pacing w:val="1"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>Rendiconto unico in contabilità</w:t>
      </w:r>
      <w:r w:rsidR="007D7814"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7D7814" w:rsidRPr="007D7814">
        <w:rPr>
          <w:rFonts w:asciiTheme="minorHAnsi" w:hAnsiTheme="minorHAnsi" w:cstheme="minorHAnsi"/>
          <w:b/>
          <w:spacing w:val="-138"/>
          <w:sz w:val="44"/>
          <w:szCs w:val="44"/>
        </w:rPr>
        <w:t xml:space="preserve">  </w:t>
      </w:r>
      <w:proofErr w:type="gramStart"/>
      <w:r w:rsidRPr="007D7814">
        <w:rPr>
          <w:rFonts w:asciiTheme="minorHAnsi" w:hAnsiTheme="minorHAnsi" w:cstheme="minorHAnsi"/>
          <w:b/>
          <w:sz w:val="44"/>
          <w:szCs w:val="44"/>
        </w:rPr>
        <w:t>finanziaria</w:t>
      </w:r>
      <w:r w:rsidR="007D7814"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7D7814" w:rsidRPr="007D7814">
        <w:rPr>
          <w:rFonts w:asciiTheme="minorHAnsi" w:hAnsiTheme="minorHAnsi" w:cstheme="minorHAnsi"/>
          <w:b/>
          <w:spacing w:val="-138"/>
          <w:sz w:val="44"/>
          <w:szCs w:val="44"/>
        </w:rPr>
        <w:t xml:space="preserve"> </w:t>
      </w:r>
      <w:r w:rsidRPr="007D7814">
        <w:rPr>
          <w:rFonts w:asciiTheme="minorHAnsi" w:hAnsiTheme="minorHAnsi" w:cstheme="minorHAnsi"/>
          <w:b/>
          <w:sz w:val="44"/>
          <w:szCs w:val="44"/>
        </w:rPr>
        <w:t>e</w:t>
      </w:r>
      <w:proofErr w:type="gramEnd"/>
    </w:p>
    <w:p w:rsidR="00C5010F" w:rsidRDefault="007D7814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 xml:space="preserve">Classificazione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della</w:t>
      </w:r>
      <w:r w:rsidR="009759CA" w:rsidRPr="007D7814">
        <w:rPr>
          <w:rFonts w:asciiTheme="minorHAnsi" w:hAnsiTheme="minorHAnsi" w:cstheme="minorHAnsi"/>
          <w:b/>
          <w:spacing w:val="-7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spesa</w:t>
      </w:r>
      <w:r w:rsidR="009759CA" w:rsidRPr="007D7814">
        <w:rPr>
          <w:rFonts w:asciiTheme="minorHAnsi" w:hAnsiTheme="minorHAnsi" w:cstheme="minorHAnsi"/>
          <w:b/>
          <w:spacing w:val="-6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per</w:t>
      </w:r>
      <w:r w:rsidRPr="007D7814">
        <w:rPr>
          <w:rFonts w:asciiTheme="minorHAnsi" w:hAnsiTheme="minorHAnsi" w:cstheme="minorHAnsi"/>
          <w:b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Missioni</w:t>
      </w:r>
      <w:r w:rsidR="009759CA" w:rsidRPr="007D7814">
        <w:rPr>
          <w:rFonts w:asciiTheme="minorHAnsi" w:hAnsiTheme="minorHAnsi" w:cstheme="minorHAnsi"/>
          <w:b/>
          <w:spacing w:val="-7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e</w:t>
      </w:r>
      <w:r w:rsidR="009759CA" w:rsidRPr="007D7814">
        <w:rPr>
          <w:rFonts w:asciiTheme="minorHAnsi" w:hAnsiTheme="minorHAnsi" w:cstheme="minorHAnsi"/>
          <w:b/>
          <w:spacing w:val="-4"/>
          <w:sz w:val="44"/>
          <w:szCs w:val="44"/>
        </w:rPr>
        <w:t xml:space="preserve"> </w:t>
      </w:r>
      <w:r w:rsidR="009759CA" w:rsidRPr="007D7814">
        <w:rPr>
          <w:rFonts w:asciiTheme="minorHAnsi" w:hAnsiTheme="minorHAnsi" w:cstheme="minorHAnsi"/>
          <w:b/>
          <w:sz w:val="44"/>
          <w:szCs w:val="44"/>
        </w:rPr>
        <w:t>Programmi</w:t>
      </w:r>
    </w:p>
    <w:p w:rsidR="007D7814" w:rsidRPr="007D7814" w:rsidRDefault="007D7814" w:rsidP="007D7814">
      <w:pPr>
        <w:spacing w:before="256" w:line="259" w:lineRule="auto"/>
        <w:ind w:right="162"/>
        <w:jc w:val="center"/>
        <w:rPr>
          <w:rFonts w:asciiTheme="minorHAnsi" w:hAnsiTheme="minorHAnsi" w:cstheme="minorHAnsi"/>
          <w:b/>
          <w:sz w:val="44"/>
          <w:szCs w:val="44"/>
        </w:rPr>
      </w:pPr>
    </w:p>
    <w:p w:rsidR="00C5010F" w:rsidRPr="007D7814" w:rsidRDefault="009759CA" w:rsidP="007D7814">
      <w:pPr>
        <w:spacing w:before="162"/>
        <w:ind w:left="2462" w:right="2304"/>
        <w:jc w:val="center"/>
        <w:rPr>
          <w:rFonts w:asciiTheme="minorHAnsi" w:hAnsiTheme="minorHAnsi" w:cstheme="minorHAnsi"/>
          <w:b/>
          <w:sz w:val="44"/>
          <w:szCs w:val="44"/>
        </w:rPr>
      </w:pPr>
      <w:r w:rsidRPr="007D7814">
        <w:rPr>
          <w:rFonts w:asciiTheme="minorHAnsi" w:hAnsiTheme="minorHAnsi" w:cstheme="minorHAnsi"/>
          <w:b/>
          <w:sz w:val="44"/>
          <w:szCs w:val="44"/>
        </w:rPr>
        <w:t>Esercizio</w:t>
      </w:r>
      <w:r w:rsidRPr="007D7814">
        <w:rPr>
          <w:rFonts w:asciiTheme="minorHAnsi" w:hAnsiTheme="minorHAnsi" w:cstheme="minorHAnsi"/>
          <w:b/>
          <w:spacing w:val="-5"/>
          <w:sz w:val="44"/>
          <w:szCs w:val="44"/>
        </w:rPr>
        <w:t xml:space="preserve"> </w:t>
      </w:r>
      <w:r w:rsidR="004D6923">
        <w:rPr>
          <w:rFonts w:asciiTheme="minorHAnsi" w:hAnsiTheme="minorHAnsi" w:cstheme="minorHAnsi"/>
          <w:b/>
          <w:sz w:val="44"/>
          <w:szCs w:val="44"/>
        </w:rPr>
        <w:t>2023</w:t>
      </w:r>
    </w:p>
    <w:p w:rsidR="00C5010F" w:rsidRPr="007D7814" w:rsidRDefault="00C5010F" w:rsidP="007D7814">
      <w:pPr>
        <w:pStyle w:val="Corpotes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pStyle w:val="Corpotesto"/>
        <w:spacing w:before="4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C5010F">
      <w:pPr>
        <w:rPr>
          <w:rFonts w:asciiTheme="minorHAnsi" w:hAnsiTheme="minorHAnsi" w:cstheme="minorHAnsi"/>
          <w:sz w:val="24"/>
          <w:szCs w:val="24"/>
        </w:rPr>
        <w:sectPr w:rsidR="00C5010F" w:rsidRPr="007D7814">
          <w:headerReference w:type="default" r:id="rId6"/>
          <w:footerReference w:type="default" r:id="rId7"/>
          <w:type w:val="continuous"/>
          <w:pgSz w:w="11910" w:h="16840"/>
          <w:pgMar w:top="1440" w:right="420" w:bottom="280" w:left="980" w:header="384" w:footer="720" w:gutter="0"/>
          <w:pgNumType w:start="1"/>
          <w:cols w:space="720"/>
        </w:sectPr>
      </w:pPr>
    </w:p>
    <w:p w:rsidR="00C5010F" w:rsidRPr="007D7814" w:rsidRDefault="00C5010F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:rsidR="00C5010F" w:rsidRPr="007D7814" w:rsidRDefault="009759CA" w:rsidP="00D0271B">
      <w:pPr>
        <w:pStyle w:val="Corpotesto"/>
        <w:spacing w:line="360" w:lineRule="auto"/>
        <w:ind w:left="153" w:right="709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Nell’ambito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quadro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informativo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economico-patrimoniale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università,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Decreto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Legislativo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27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gennaio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2012, n. </w:t>
      </w:r>
      <w:proofErr w:type="gramStart"/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18 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(</w:t>
      </w:r>
      <w:proofErr w:type="gramEnd"/>
      <w:r w:rsidRPr="007D7814">
        <w:rPr>
          <w:rFonts w:asciiTheme="minorHAnsi" w:hAnsiTheme="minorHAnsi" w:cstheme="minorHAnsi"/>
          <w:sz w:val="24"/>
          <w:szCs w:val="24"/>
        </w:rPr>
        <w:t xml:space="preserve">Introduzione di un sistema di </w:t>
      </w:r>
      <w:r w:rsidR="00A058A7"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economico-patrimoniale e analitica, del bilancio unico e del bilanci</w:t>
      </w:r>
      <w:r w:rsidR="00A058A7" w:rsidRPr="007D7814">
        <w:rPr>
          <w:rFonts w:asciiTheme="minorHAnsi" w:hAnsiTheme="minorHAnsi" w:cstheme="minorHAnsi"/>
          <w:sz w:val="24"/>
          <w:szCs w:val="24"/>
        </w:rPr>
        <w:t>o consolidato nelle Università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a norma dell'articolo 5, comma 1, lettera b), e 4, lettera a), della legge 30 dicembre 201</w:t>
      </w:r>
      <w:r w:rsidR="00D0271B">
        <w:rPr>
          <w:rFonts w:asciiTheme="minorHAnsi" w:hAnsiTheme="minorHAnsi" w:cstheme="minorHAnsi"/>
          <w:sz w:val="24"/>
          <w:szCs w:val="24"/>
        </w:rPr>
        <w:t>0, n. 240.)  all’art. 1 comma 3)</w:t>
      </w:r>
      <w:r w:rsidRPr="007D7814">
        <w:rPr>
          <w:rFonts w:asciiTheme="minorHAnsi" w:hAnsiTheme="minorHAnsi" w:cstheme="minorHAnsi"/>
          <w:sz w:val="24"/>
          <w:szCs w:val="24"/>
        </w:rPr>
        <w:t xml:space="preserve"> Prevede: “Al fine di consentire il consolidamento e il monitoraggio dei conti delle amministrazioni pubbliche, le </w:t>
      </w:r>
      <w:r w:rsidR="00A058A7" w:rsidRPr="007D7814">
        <w:rPr>
          <w:rFonts w:asciiTheme="minorHAnsi" w:hAnsiTheme="minorHAnsi" w:cstheme="minorHAnsi"/>
          <w:sz w:val="24"/>
          <w:szCs w:val="24"/>
        </w:rPr>
        <w:t>università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considerate amministrazioni pubbliche ai sensi dell'art. 1, comma 2, della legge 31 dicembre 2009, n. 196, predispongono il bilancio preventivo unico d'ateneo non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autorizzatorio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 xml:space="preserve"> e il rendiconto unico d'ateneo in </w:t>
      </w:r>
      <w:r w:rsidR="00A058A7"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z w:val="24"/>
          <w:szCs w:val="24"/>
        </w:rPr>
        <w:t xml:space="preserve"> finanziaria.</w:t>
      </w:r>
      <w:r w:rsidRPr="007D7814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</w:p>
    <w:p w:rsidR="00C5010F" w:rsidRPr="007D7814" w:rsidRDefault="009759CA" w:rsidP="00D0271B">
      <w:pPr>
        <w:pStyle w:val="Corpotesto"/>
        <w:spacing w:line="360" w:lineRule="auto"/>
        <w:ind w:left="153" w:right="708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Successivamente, il Decreto Interministeriale 14 gennaio 2014, n. 19 (Principi contabili e schemi di bilancio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 contabilità economico-patrimoniale per le università) ha disciplinato i criteri per la predisposizione del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prospetto in argomento, definendone gli schemi e le modalità di redazione, a loro volta dettagliate nel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Manuale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Tecnico</w:t>
      </w:r>
      <w:r w:rsidRPr="007D781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adottato dal MUR nella sua versione definitiva con Decreto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Direttoriale n.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1841 del 26 luglio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2017.</w:t>
      </w:r>
    </w:p>
    <w:p w:rsidR="00C5010F" w:rsidRPr="007D7814" w:rsidRDefault="009759CA">
      <w:pPr>
        <w:pStyle w:val="Corpotesto"/>
        <w:spacing w:before="5" w:line="360" w:lineRule="auto"/>
        <w:ind w:left="152" w:right="711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>Il presente Rendiconto unico di Ateneo in contabilità finanziaria è redatto in termini di cassa, in conformità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criteri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previsti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all’articolo</w:t>
      </w:r>
      <w:r w:rsidRPr="007D781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7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19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14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gennaio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2014,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come</w:t>
      </w:r>
      <w:r w:rsidRPr="007D7814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modificato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dal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394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dell’8</w:t>
      </w:r>
      <w:r w:rsidRPr="007D7814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giugno</w:t>
      </w:r>
      <w:r w:rsidRPr="007D7814">
        <w:rPr>
          <w:rFonts w:asciiTheme="minorHAnsi" w:hAnsiTheme="minorHAnsi" w:cstheme="minorHAnsi"/>
          <w:spacing w:val="-4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2017. Esso riporta gli incassi e i pagamenti effettuati nell’esercizio 2022, riclassificati secondo le codifiche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SIOPE previste dal Decreto MEF del 5 settembre 2017, che ha aggiornato i codici gestionali specifici per 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sistema universitario, adeguandoli alla struttura del piano dei conti finanziario, di cui al D.P.R. n. 132 del 4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ottobre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2013.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prospetto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contiene,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inoltre,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la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riclassificazione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delle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spese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missioni</w:t>
      </w:r>
      <w:r w:rsidRPr="007D7814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programmi,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secondo</w:t>
      </w:r>
      <w:r w:rsidRPr="007D7814">
        <w:rPr>
          <w:rFonts w:asciiTheme="minorHAnsi" w:hAnsiTheme="minorHAnsi" w:cstheme="minorHAnsi"/>
          <w:spacing w:val="-48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quanto disposto dall’articolo 7, comma 3 del D.I. n. 19/2014. Tale riclassificazione si intende sostitutiva di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quella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prevista all’art. 2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</w:t>
      </w:r>
      <w:r w:rsidRPr="007D7814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D.I.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n.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21/2014.</w:t>
      </w:r>
    </w:p>
    <w:p w:rsidR="00C5010F" w:rsidRPr="007D7814" w:rsidRDefault="009759CA" w:rsidP="00D0271B">
      <w:pPr>
        <w:pStyle w:val="Corpotesto"/>
        <w:spacing w:before="3" w:line="360" w:lineRule="auto"/>
        <w:ind w:left="152" w:right="709"/>
        <w:jc w:val="both"/>
        <w:rPr>
          <w:rFonts w:asciiTheme="minorHAnsi" w:hAnsiTheme="minorHAnsi" w:cstheme="minorHAnsi"/>
          <w:sz w:val="24"/>
          <w:szCs w:val="24"/>
        </w:rPr>
        <w:sectPr w:rsidR="00C5010F" w:rsidRPr="007D7814">
          <w:headerReference w:type="default" r:id="rId8"/>
          <w:footerReference w:type="default" r:id="rId9"/>
          <w:pgSz w:w="11910" w:h="16840"/>
          <w:pgMar w:top="1440" w:right="420" w:bottom="1260" w:left="980" w:header="384" w:footer="1080" w:gutter="0"/>
          <w:pgNumType w:start="1"/>
          <w:cols w:space="720"/>
        </w:sectPr>
      </w:pPr>
      <w:r w:rsidRPr="007D7814">
        <w:rPr>
          <w:rFonts w:asciiTheme="minorHAnsi" w:hAnsiTheme="minorHAnsi" w:cstheme="minorHAnsi"/>
          <w:sz w:val="24"/>
          <w:szCs w:val="24"/>
        </w:rPr>
        <w:t>Pertanto,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il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presente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Rendiconto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Ateneo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in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contabilità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finanziaria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assolve,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contestualmente,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all’obbligo di redazione del rendiconto unico in contabilità finanziaria di cui all’articolo 3 del D.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Lgs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>. n. 18 del</w:t>
      </w:r>
      <w:r w:rsidRPr="007D7814">
        <w:rPr>
          <w:rFonts w:asciiTheme="minorHAnsi" w:hAnsiTheme="minorHAnsi" w:cstheme="minorHAnsi"/>
          <w:spacing w:val="-47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27 gennaio 2012, secondo le modalità di cui all’articolo 7, comma 3 del D.I. n. 19/2014 e alla classificazione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della spesa per missioni e programmi, ai sensi dell'articolo 2, comma 2, </w:t>
      </w:r>
      <w:proofErr w:type="spellStart"/>
      <w:r w:rsidRPr="007D7814">
        <w:rPr>
          <w:rFonts w:asciiTheme="minorHAnsi" w:hAnsiTheme="minorHAnsi" w:cstheme="minorHAnsi"/>
          <w:sz w:val="24"/>
          <w:szCs w:val="24"/>
        </w:rPr>
        <w:t>lett</w:t>
      </w:r>
      <w:proofErr w:type="spellEnd"/>
      <w:r w:rsidRPr="007D7814">
        <w:rPr>
          <w:rFonts w:asciiTheme="minorHAnsi" w:hAnsiTheme="minorHAnsi" w:cstheme="minorHAnsi"/>
          <w:sz w:val="24"/>
          <w:szCs w:val="24"/>
        </w:rPr>
        <w:t>. c) della Legge n. 196 del 31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dicembre</w:t>
      </w:r>
      <w:r w:rsidRPr="007D781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2009.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 </w:t>
      </w:r>
      <w:r w:rsidR="00D0271B">
        <w:rPr>
          <w:rFonts w:asciiTheme="minorHAnsi" w:hAnsiTheme="minorHAnsi" w:cstheme="minorHAnsi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 l’imputazione delle spese alle missioni e ai programmi previsti per il sistema universitario, si è fatto,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comunque, riferimento ai criteri generali e specifici individuati dal D.I. n. 21/2014 e dal Manuale Tecnico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 xml:space="preserve">Operativo, nella sua versione aggiornata emanata con Decreto Direttoriale n. 1055 del 30 maggio 2019. </w:t>
      </w:r>
    </w:p>
    <w:p w:rsidR="00C5010F" w:rsidRPr="007D7814" w:rsidRDefault="009759CA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lastRenderedPageBreak/>
        <w:t>Il Rendiconto unico di Ateneo in contabilità finanziaria dell’esercizio 202</w:t>
      </w:r>
      <w:r w:rsidR="004D6923">
        <w:rPr>
          <w:rFonts w:asciiTheme="minorHAnsi" w:hAnsiTheme="minorHAnsi" w:cstheme="minorHAnsi"/>
          <w:sz w:val="24"/>
          <w:szCs w:val="24"/>
        </w:rPr>
        <w:t>3</w:t>
      </w:r>
      <w:r w:rsidRPr="007D7814">
        <w:rPr>
          <w:rFonts w:asciiTheme="minorHAnsi" w:hAnsiTheme="minorHAnsi" w:cstheme="minorHAnsi"/>
          <w:sz w:val="24"/>
          <w:szCs w:val="24"/>
        </w:rPr>
        <w:t xml:space="preserve"> evidenzia un flusso monetario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positivo </w:t>
      </w:r>
      <w:proofErr w:type="gramStart"/>
      <w:r w:rsidR="00A058A7" w:rsidRPr="007D7814">
        <w:rPr>
          <w:rFonts w:asciiTheme="minorHAnsi" w:hAnsiTheme="minorHAnsi" w:cstheme="minorHAnsi"/>
          <w:sz w:val="24"/>
          <w:szCs w:val="24"/>
        </w:rPr>
        <w:t xml:space="preserve">di 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84322A" w:rsidRPr="0084322A">
        <w:rPr>
          <w:rFonts w:asciiTheme="minorHAnsi" w:hAnsiTheme="minorHAnsi" w:cstheme="minorHAnsi"/>
          <w:sz w:val="24"/>
          <w:szCs w:val="24"/>
        </w:rPr>
        <w:t>euro</w:t>
      </w:r>
      <w:proofErr w:type="gramEnd"/>
      <w:r w:rsidR="008432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F126B">
        <w:rPr>
          <w:rFonts w:asciiTheme="minorHAnsi" w:hAnsiTheme="minorHAnsi" w:cstheme="minorHAnsi"/>
          <w:b/>
          <w:sz w:val="24"/>
          <w:szCs w:val="24"/>
        </w:rPr>
        <w:t>15.746.65</w:t>
      </w:r>
      <w:r w:rsidR="00621B67">
        <w:rPr>
          <w:rFonts w:asciiTheme="minorHAnsi" w:hAnsiTheme="minorHAnsi" w:cstheme="minorHAnsi"/>
          <w:b/>
          <w:sz w:val="24"/>
          <w:szCs w:val="24"/>
        </w:rPr>
        <w:t>9</w:t>
      </w:r>
      <w:r w:rsidRPr="007D7814">
        <w:rPr>
          <w:rFonts w:asciiTheme="minorHAnsi" w:hAnsiTheme="minorHAnsi" w:cstheme="minorHAnsi"/>
          <w:sz w:val="24"/>
          <w:szCs w:val="24"/>
        </w:rPr>
        <w:t xml:space="preserve">, </w:t>
      </w:r>
      <w:r w:rsidR="00A058A7" w:rsidRPr="007D7814">
        <w:rPr>
          <w:rFonts w:asciiTheme="minorHAnsi" w:hAnsiTheme="minorHAnsi" w:cstheme="minorHAnsi"/>
          <w:sz w:val="24"/>
          <w:szCs w:val="24"/>
        </w:rPr>
        <w:t>mentre il</w:t>
      </w:r>
      <w:r w:rsidRPr="007D7814">
        <w:rPr>
          <w:rFonts w:asciiTheme="minorHAnsi" w:hAnsiTheme="minorHAnsi" w:cstheme="minorHAnsi"/>
          <w:sz w:val="24"/>
          <w:szCs w:val="24"/>
        </w:rPr>
        <w:t xml:space="preserve"> Rendiconto Finanziario (analisi del Cash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Flow)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del Bilancio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Unico</w:t>
      </w:r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di</w:t>
      </w:r>
      <w:r w:rsidRPr="007D7814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Ateneo</w:t>
      </w:r>
      <w:r w:rsidR="00A058A7" w:rsidRPr="007D7814">
        <w:rPr>
          <w:rFonts w:asciiTheme="minorHAnsi" w:hAnsiTheme="minorHAnsi" w:cstheme="minorHAnsi"/>
          <w:sz w:val="24"/>
          <w:szCs w:val="24"/>
        </w:rPr>
        <w:t xml:space="preserve"> presenta una differenza positiva di euro </w:t>
      </w:r>
      <w:r w:rsidR="004D6923" w:rsidRPr="004D6923">
        <w:rPr>
          <w:rFonts w:asciiTheme="minorHAnsi" w:hAnsiTheme="minorHAnsi" w:cstheme="minorHAnsi"/>
          <w:b/>
          <w:sz w:val="24"/>
          <w:szCs w:val="24"/>
        </w:rPr>
        <w:t>15.746.479</w:t>
      </w:r>
      <w:r w:rsidR="00780526">
        <w:rPr>
          <w:rFonts w:asciiTheme="minorHAnsi" w:hAnsiTheme="minorHAnsi" w:cstheme="minorHAnsi"/>
          <w:b/>
          <w:sz w:val="24"/>
          <w:szCs w:val="24"/>
        </w:rPr>
        <w:t>.</w:t>
      </w:r>
    </w:p>
    <w:tbl>
      <w:tblPr>
        <w:tblW w:w="0" w:type="auto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256"/>
        <w:gridCol w:w="3612"/>
        <w:gridCol w:w="1415"/>
      </w:tblGrid>
      <w:tr w:rsidR="00780526" w:rsidRPr="00780526" w:rsidTr="00621B67">
        <w:trPr>
          <w:trHeight w:val="288"/>
        </w:trPr>
        <w:tc>
          <w:tcPr>
            <w:tcW w:w="4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Rendiconto finanziario </w:t>
            </w:r>
          </w:p>
        </w:tc>
        <w:tc>
          <w:tcPr>
            <w:tcW w:w="50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Cash flow </w:t>
            </w:r>
          </w:p>
        </w:tc>
      </w:tr>
      <w:tr w:rsidR="00780526" w:rsidRPr="00780526" w:rsidTr="00621B67">
        <w:trPr>
          <w:trHeight w:val="276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right="-404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 xml:space="preserve">Totale </w:t>
            </w:r>
            <w:r w:rsidRPr="00780526">
              <w:rPr>
                <w:rFonts w:eastAsia="Times New Roman"/>
                <w:color w:val="000000"/>
                <w:lang w:eastAsia="it-IT"/>
              </w:rPr>
              <w:t>entrate</w:t>
            </w:r>
          </w:p>
        </w:tc>
        <w:tc>
          <w:tcPr>
            <w:tcW w:w="32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621B67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 xml:space="preserve">€ </w:t>
            </w:r>
            <w:r w:rsidR="001F126B" w:rsidRPr="001F126B">
              <w:rPr>
                <w:rFonts w:eastAsia="Times New Roman"/>
                <w:color w:val="000000"/>
                <w:lang w:eastAsia="it-IT"/>
              </w:rPr>
              <w:t>178.686.0</w:t>
            </w:r>
            <w:r w:rsidR="00621B67">
              <w:rPr>
                <w:rFonts w:eastAsia="Times New Roman"/>
                <w:color w:val="000000"/>
                <w:lang w:eastAsia="it-IT"/>
              </w:rPr>
              <w:t>40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>D</w:t>
            </w:r>
            <w:r w:rsidR="00621B67">
              <w:rPr>
                <w:rFonts w:eastAsia="Times New Roman"/>
                <w:color w:val="000000"/>
                <w:lang w:eastAsia="it-IT"/>
              </w:rPr>
              <w:t>isponibilità al 31/12/2023</w:t>
            </w:r>
          </w:p>
        </w:tc>
        <w:tc>
          <w:tcPr>
            <w:tcW w:w="141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left="-185"/>
              <w:jc w:val="right"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 xml:space="preserve">€ </w:t>
            </w:r>
            <w:r w:rsidR="00621B67" w:rsidRPr="00621B67">
              <w:rPr>
                <w:rFonts w:eastAsia="Times New Roman"/>
                <w:color w:val="000000"/>
                <w:lang w:eastAsia="it-IT"/>
              </w:rPr>
              <w:t>97</w:t>
            </w:r>
            <w:r w:rsidR="00621B67">
              <w:rPr>
                <w:rFonts w:eastAsia="Times New Roman"/>
                <w:color w:val="000000"/>
                <w:lang w:eastAsia="it-IT"/>
              </w:rPr>
              <w:t>.</w:t>
            </w:r>
            <w:r w:rsidR="00621B67" w:rsidRPr="00621B67">
              <w:rPr>
                <w:rFonts w:eastAsia="Times New Roman"/>
                <w:color w:val="000000"/>
                <w:lang w:eastAsia="it-IT"/>
              </w:rPr>
              <w:t>085</w:t>
            </w:r>
            <w:r w:rsidR="00621B67">
              <w:rPr>
                <w:rFonts w:eastAsia="Times New Roman"/>
                <w:color w:val="000000"/>
                <w:lang w:eastAsia="it-IT"/>
              </w:rPr>
              <w:t>.</w:t>
            </w:r>
            <w:r w:rsidR="00621B67" w:rsidRPr="00621B67">
              <w:rPr>
                <w:rFonts w:eastAsia="Times New Roman"/>
                <w:color w:val="000000"/>
                <w:lang w:eastAsia="it-IT"/>
              </w:rPr>
              <w:t>196</w:t>
            </w:r>
          </w:p>
        </w:tc>
      </w:tr>
      <w:tr w:rsidR="00780526" w:rsidRPr="00780526" w:rsidTr="00621B67">
        <w:trPr>
          <w:trHeight w:val="276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 w:rsidRPr="00780526">
              <w:rPr>
                <w:rFonts w:eastAsia="Times New Roman"/>
                <w:color w:val="000000"/>
                <w:lang w:eastAsia="it-IT"/>
              </w:rPr>
              <w:t>Totale spese</w:t>
            </w:r>
          </w:p>
        </w:tc>
        <w:tc>
          <w:tcPr>
            <w:tcW w:w="32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u w:val="single"/>
                <w:lang w:eastAsia="it-IT"/>
              </w:rPr>
            </w:pPr>
            <w:r w:rsidRPr="00780526">
              <w:rPr>
                <w:rFonts w:eastAsia="Times New Roman"/>
                <w:color w:val="000000"/>
                <w:u w:val="single"/>
                <w:lang w:eastAsia="it-IT"/>
              </w:rPr>
              <w:t xml:space="preserve">€ </w:t>
            </w:r>
            <w:r w:rsidR="00621B67">
              <w:rPr>
                <w:rFonts w:eastAsia="Times New Roman"/>
                <w:color w:val="000000"/>
                <w:u w:val="single"/>
                <w:lang w:eastAsia="it-IT"/>
              </w:rPr>
              <w:t>162.939.381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color w:val="000000"/>
                <w:lang w:eastAsia="it-IT"/>
              </w:rPr>
            </w:pPr>
            <w:r>
              <w:rPr>
                <w:rFonts w:eastAsia="Times New Roman"/>
                <w:color w:val="000000"/>
                <w:lang w:eastAsia="it-IT"/>
              </w:rPr>
              <w:t>D</w:t>
            </w:r>
            <w:r w:rsidR="00621B67">
              <w:rPr>
                <w:rFonts w:eastAsia="Times New Roman"/>
                <w:color w:val="000000"/>
                <w:lang w:eastAsia="it-IT"/>
              </w:rPr>
              <w:t>isponibilità al 31/12/2022</w:t>
            </w:r>
          </w:p>
        </w:tc>
        <w:tc>
          <w:tcPr>
            <w:tcW w:w="141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ind w:left="-185"/>
              <w:jc w:val="right"/>
              <w:rPr>
                <w:rFonts w:eastAsia="Times New Roman"/>
                <w:color w:val="000000"/>
                <w:u w:val="single"/>
                <w:lang w:eastAsia="it-IT"/>
              </w:rPr>
            </w:pPr>
            <w:r w:rsidRPr="00780526">
              <w:rPr>
                <w:rFonts w:eastAsia="Times New Roman"/>
                <w:color w:val="000000"/>
                <w:u w:val="single"/>
                <w:lang w:eastAsia="it-IT"/>
              </w:rPr>
              <w:t xml:space="preserve">€ </w:t>
            </w:r>
            <w:r w:rsidR="00621B67" w:rsidRPr="00621B67">
              <w:rPr>
                <w:rFonts w:eastAsia="Times New Roman"/>
                <w:color w:val="000000"/>
                <w:u w:val="single"/>
                <w:lang w:eastAsia="it-IT"/>
              </w:rPr>
              <w:t>81</w:t>
            </w:r>
            <w:r w:rsidR="00621B67">
              <w:rPr>
                <w:rFonts w:eastAsia="Times New Roman"/>
                <w:color w:val="000000"/>
                <w:u w:val="single"/>
                <w:lang w:eastAsia="it-IT"/>
              </w:rPr>
              <w:t>.</w:t>
            </w:r>
            <w:r w:rsidR="00621B67" w:rsidRPr="00621B67">
              <w:rPr>
                <w:rFonts w:eastAsia="Times New Roman"/>
                <w:color w:val="000000"/>
                <w:u w:val="single"/>
                <w:lang w:eastAsia="it-IT"/>
              </w:rPr>
              <w:t>338</w:t>
            </w:r>
            <w:r w:rsidR="00621B67">
              <w:rPr>
                <w:rFonts w:eastAsia="Times New Roman"/>
                <w:color w:val="000000"/>
                <w:u w:val="single"/>
                <w:lang w:eastAsia="it-IT"/>
              </w:rPr>
              <w:t>.</w:t>
            </w:r>
            <w:r w:rsidR="00621B67" w:rsidRPr="00621B67">
              <w:rPr>
                <w:rFonts w:eastAsia="Times New Roman"/>
                <w:color w:val="000000"/>
                <w:u w:val="single"/>
                <w:lang w:eastAsia="it-IT"/>
              </w:rPr>
              <w:t>717</w:t>
            </w:r>
          </w:p>
        </w:tc>
      </w:tr>
      <w:tr w:rsidR="00780526" w:rsidRPr="00780526" w:rsidTr="00621B67">
        <w:trPr>
          <w:trHeight w:val="291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25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621B67" w:rsidP="00621B67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 xml:space="preserve">                                       </w:t>
            </w:r>
            <w:r w:rsidR="00780526"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€ </w:t>
            </w:r>
            <w:r>
              <w:rPr>
                <w:rFonts w:eastAsia="Times New Roman"/>
                <w:b/>
                <w:bCs/>
                <w:color w:val="000000"/>
                <w:lang w:eastAsia="it-IT"/>
              </w:rPr>
              <w:t>15.746.659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80526" w:rsidRPr="00780526" w:rsidRDefault="00780526" w:rsidP="00780526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1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526" w:rsidRPr="00780526" w:rsidRDefault="00621B67" w:rsidP="00621B67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 xml:space="preserve">  </w:t>
            </w:r>
            <w:r w:rsidR="00780526" w:rsidRPr="00780526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€ </w:t>
            </w:r>
            <w:r>
              <w:rPr>
                <w:rFonts w:eastAsia="Times New Roman"/>
                <w:b/>
                <w:bCs/>
                <w:color w:val="000000"/>
                <w:lang w:eastAsia="it-IT"/>
              </w:rPr>
              <w:t>15.746.479</w:t>
            </w:r>
          </w:p>
        </w:tc>
      </w:tr>
      <w:tr w:rsidR="00780526" w:rsidRPr="00780526" w:rsidTr="00621B67">
        <w:trPr>
          <w:trHeight w:val="288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68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0526" w:rsidRPr="00780526" w:rsidRDefault="0084322A" w:rsidP="0078052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 xml:space="preserve">€ </w:t>
            </w:r>
            <w:r w:rsidR="00621B67">
              <w:rPr>
                <w:rFonts w:ascii="Arial" w:eastAsia="Times New Roman" w:hAnsi="Arial" w:cs="Arial"/>
                <w:b/>
                <w:lang w:eastAsia="it-IT"/>
              </w:rPr>
              <w:t>180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526" w:rsidRPr="00780526" w:rsidRDefault="00780526" w:rsidP="0078052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:rsidR="00780526" w:rsidRDefault="00780526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</w:p>
    <w:p w:rsidR="00A058A7" w:rsidRDefault="00780526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  <w:r w:rsidRPr="00780526">
        <w:rPr>
          <w:rFonts w:asciiTheme="minorHAnsi" w:hAnsiTheme="minorHAnsi" w:cstheme="minorHAnsi"/>
          <w:sz w:val="24"/>
          <w:szCs w:val="24"/>
        </w:rPr>
        <w:t xml:space="preserve">La divergenza tra le risultanze del Rendiconto unico in contabilità finanziaria e il cash flow è dovuta </w:t>
      </w:r>
      <w:r w:rsidR="00621B67">
        <w:rPr>
          <w:rFonts w:asciiTheme="minorHAnsi" w:hAnsiTheme="minorHAnsi" w:cstheme="minorHAnsi"/>
          <w:sz w:val="24"/>
          <w:szCs w:val="24"/>
        </w:rPr>
        <w:t>alla chiusura, durante l’esercizio 2023 del conto corrente postale</w:t>
      </w:r>
      <w:r w:rsidR="00DA1B79">
        <w:rPr>
          <w:rFonts w:asciiTheme="minorHAnsi" w:hAnsiTheme="minorHAnsi" w:cstheme="minorHAnsi"/>
          <w:sz w:val="24"/>
          <w:szCs w:val="24"/>
        </w:rPr>
        <w:t xml:space="preserve"> per un importo pari ad euro 180. </w:t>
      </w:r>
    </w:p>
    <w:p w:rsidR="0084322A" w:rsidRDefault="0084322A">
      <w:pPr>
        <w:pStyle w:val="Corpotesto"/>
        <w:spacing w:before="56" w:line="360" w:lineRule="auto"/>
        <w:ind w:left="152" w:right="71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Mentre nel cash flow tale chiusura ha comportato solo una permutazione tra le poste relative alle “Disponibilità liquide – Depositi bancari e postali” e pertanto il saldo non cambia, nel rendiconto finanziario, è rilevato l’incasso relativo alla chiusura del c/c postale.</w:t>
      </w:r>
    </w:p>
    <w:p w:rsidR="00C5010F" w:rsidRPr="007D7814" w:rsidRDefault="009759CA">
      <w:pPr>
        <w:pStyle w:val="Corpotesto"/>
        <w:spacing w:before="56" w:line="360" w:lineRule="auto"/>
        <w:ind w:left="152" w:right="708"/>
        <w:jc w:val="both"/>
        <w:rPr>
          <w:rFonts w:asciiTheme="minorHAnsi" w:hAnsiTheme="minorHAnsi" w:cstheme="minorHAnsi"/>
          <w:sz w:val="24"/>
          <w:szCs w:val="24"/>
        </w:rPr>
      </w:pPr>
      <w:r w:rsidRPr="007D7814">
        <w:rPr>
          <w:rFonts w:asciiTheme="minorHAnsi" w:hAnsiTheme="minorHAnsi" w:cstheme="minorHAnsi"/>
          <w:sz w:val="24"/>
          <w:szCs w:val="24"/>
        </w:rPr>
        <w:t xml:space="preserve">Di seguito si riportano i prospetti SIOPE analitici delle entrate e delle spese, con l’indicazione, per le </w:t>
      </w:r>
      <w:proofErr w:type="gramStart"/>
      <w:r w:rsidRPr="007D7814">
        <w:rPr>
          <w:rFonts w:asciiTheme="minorHAnsi" w:hAnsiTheme="minorHAnsi" w:cstheme="minorHAnsi"/>
          <w:sz w:val="24"/>
          <w:szCs w:val="24"/>
        </w:rPr>
        <w:t>sole</w:t>
      </w:r>
      <w:proofErr w:type="gramEnd"/>
      <w:r w:rsidRPr="007D7814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spese,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della</w:t>
      </w:r>
      <w:r w:rsidRPr="007D7814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pacing w:val="-1"/>
          <w:sz w:val="24"/>
          <w:szCs w:val="24"/>
        </w:rPr>
        <w:t>ripartizione</w:t>
      </w:r>
      <w:r w:rsidRPr="007D7814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per</w:t>
      </w:r>
      <w:r w:rsidRPr="007D7814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missioni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D7814">
        <w:rPr>
          <w:rFonts w:asciiTheme="minorHAnsi" w:hAnsiTheme="minorHAnsi" w:cstheme="minorHAnsi"/>
          <w:sz w:val="24"/>
          <w:szCs w:val="24"/>
        </w:rPr>
        <w:t>e</w:t>
      </w:r>
      <w:r w:rsidRPr="007D7814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972E7E">
        <w:rPr>
          <w:rFonts w:asciiTheme="minorHAnsi" w:hAnsiTheme="minorHAnsi" w:cstheme="minorHAnsi"/>
          <w:sz w:val="24"/>
          <w:szCs w:val="24"/>
        </w:rPr>
        <w:t>programmi.</w:t>
      </w:r>
    </w:p>
    <w:p w:rsidR="00C5010F" w:rsidRPr="007D7814" w:rsidRDefault="00C5010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  <w:sectPr w:rsidR="00C5010F" w:rsidRPr="007D7814">
          <w:pgSz w:w="11910" w:h="16840"/>
          <w:pgMar w:top="1520" w:right="420" w:bottom="1260" w:left="980" w:header="384" w:footer="1080" w:gutter="0"/>
          <w:cols w:space="720"/>
        </w:sectPr>
      </w:pPr>
    </w:p>
    <w:p w:rsidR="00C5010F" w:rsidRDefault="00C5010F">
      <w:pPr>
        <w:pStyle w:val="Corpotesto"/>
        <w:rPr>
          <w:sz w:val="20"/>
        </w:rPr>
      </w:pPr>
    </w:p>
    <w:tbl>
      <w:tblPr>
        <w:tblW w:w="10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348"/>
        <w:gridCol w:w="7340"/>
        <w:gridCol w:w="1670"/>
      </w:tblGrid>
      <w:tr w:rsidR="0087110E" w:rsidRPr="0087110E" w:rsidTr="001C7FC1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ENTRATE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87110E" w:rsidRPr="0087110E" w:rsidTr="001C7FC1">
        <w:trPr>
          <w:trHeight w:val="300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Livello</w:t>
            </w:r>
          </w:p>
        </w:tc>
        <w:tc>
          <w:tcPr>
            <w:tcW w:w="7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DESCRIZIONE CODICE ECONOMICO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Totale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correnti di natura tributaria, contributiva e perequativa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Tributi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Imposte, tasse e proventi assimilati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82.309.314,85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82.309.314,85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Amministrazioni pubbliche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80.264.793,25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Amministrazioni Centrali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71.829.370,27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Amministrazioni Locali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8.435.422,98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Enti di Previdenza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73.760,00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Sponsorizzazioni da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correnti da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73.760,00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Istituzioni Sociali Private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5.500,00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 Istituzioni Sociali Private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5.500,00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dall'Unione Europea e dal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1.965.261,60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dall'Unione Europea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1.965.261,60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dal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 xml:space="preserve">Entrate </w:t>
            </w:r>
            <w:proofErr w:type="spellStart"/>
            <w:r w:rsidRPr="0087110E">
              <w:rPr>
                <w:rFonts w:ascii="Arial" w:eastAsia="Times New Roman" w:hAnsi="Arial" w:cs="Arial"/>
                <w:lang w:eastAsia="it-IT"/>
              </w:rPr>
              <w:t>extratributarie</w:t>
            </w:r>
            <w:proofErr w:type="spellEnd"/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20.942.855,22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Vendita di beni e servizi e proventi derivanti dalla gestione dei beni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16.783.495,29</w:t>
            </w:r>
          </w:p>
        </w:tc>
      </w:tr>
      <w:tr w:rsidR="0087110E" w:rsidRPr="0087110E" w:rsidTr="001C7FC1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Vendita di beni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dalla vendita e dall'erogazione di servizi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16.783.495,29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Proventi derivanti dalla gestione dei beni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Proventi derivanti dall'attività di controllo e repressione delle irregolarità e degli illeciti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148.179,21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attivi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60,17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attivi da titoli o finanziamenti a breve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attivi da titoli o finanziamenti a medio -lungo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interessi attivi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60,17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Rimborsi e altre entrate correnti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4.011.120,55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Indennizzi di assicurazione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Rimborsi in entrata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229.514,61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 xml:space="preserve">Altre entrate correnti </w:t>
            </w:r>
            <w:proofErr w:type="spellStart"/>
            <w:r w:rsidRPr="0087110E">
              <w:rPr>
                <w:rFonts w:ascii="Arial" w:eastAsia="Times New Roman" w:hAnsi="Arial" w:cs="Arial"/>
                <w:lang w:eastAsia="it-IT"/>
              </w:rPr>
              <w:t>n.a.c</w:t>
            </w:r>
            <w:proofErr w:type="spellEnd"/>
            <w:r w:rsidRPr="0087110E">
              <w:rPr>
                <w:rFonts w:ascii="Arial" w:eastAsia="Times New Roman" w:hAnsi="Arial" w:cs="Arial"/>
                <w:lang w:eastAsia="it-IT"/>
              </w:rPr>
              <w:t>.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3.781.605,94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in conto capitale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26.890.097,80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13.886.080,36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amministrazioni pubbliche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9.547.801,99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Amministrazioni Centrali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7.791.459,63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Amministrazioni Locali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1.756.342,36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Enti di Previdenza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Università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265.980,76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150,00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150,00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857.881,46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lastRenderedPageBreak/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imprese controllate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altre imprese partecipate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altre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857.881,46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Istituzioni Sociali Private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 Istituzioni Sociali Private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dall'Unione Europea e dal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2.468.086,30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dal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contributi agli investimenti dall'Unione Europea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1.588.104,09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direttamente destinati al rimborso di prestiti da amministrazioni pubbliche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direttamente destinati al rimborso di prestiti da Amministrazioni Centrali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direttamente destinati al rimborso di prestiti da Amministrazioni Locali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amministrazioni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Regioni e province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Università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Istituzioni Sociali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 Istituzioni sociali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dall'Unione Europea e dal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in conto capitale dall'Unione Europea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da alienazione di beni materiali e immateriali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beni materiali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Cessione di Terreni e di beni materiali non prodotti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beni immateriali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da riduzione di attività finanziarie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attività finanziarie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partecipazioni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titoli obbligazionari a breve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Alienazione di titoli obbligazionari a medio-lungo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di medio-lungo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sorti a seguito di escussione di garanzie in favore di Amministrazioni Pubbliche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sorti a seguito di escussione di garanzie in favore di Famiglie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sorti a seguito di escussione di garanzie in favore di Imprese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sorti a seguito di escussione di garanzie in favore di Istituzioni Sociali Private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crediti sorti a seguito di escussione di garanzie in favore dell'Unione Europea e del Resto del Mondo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Accensione Prestiti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Accensione prestiti a breve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Finanziamenti a breve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Accensione mutui e altri finanziamenti a medio lungo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lastRenderedPageBreak/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Finanziamenti a medio lungo termine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Accensione Prestiti - Leasing finanziario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Anticipazioni da istituto tesoriere/cassiere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Anticipazioni da istituto tesoriere/cassiere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Anticipazioni da istituto tesoriere/cassiere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D973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per conto terzi e partite di giro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48.543.771,86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per partite di giro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46.502.945,86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ritenute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Ritenute su redditi da lavoro dipendente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32.650.772,24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Ritenute su redditi da lavoro autonomo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308.967,65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entrate per partite di giro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13.543.205,97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F2D0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Entrate per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2.040.826,00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Rimborsi per acquisto di beni e servizi per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da Amministrazioni pubbliche per operazioni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da altri soggetti per operazioni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Depositi di/presso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6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Riscossione imposte e tributi per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2.022.270,00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E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entrate per conto terzi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00"/>
        </w:trPr>
        <w:tc>
          <w:tcPr>
            <w:tcW w:w="9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C7D22"/>
            <w:noWrap/>
            <w:vAlign w:val="bottom"/>
            <w:hideMark/>
          </w:tcPr>
          <w:p w:rsidR="0087110E" w:rsidRPr="001C7FC1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it-IT"/>
              </w:rPr>
            </w:pPr>
            <w:r w:rsidRPr="001C7FC1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it-IT"/>
              </w:rPr>
              <w:t>TOTALE GENERALE ENTRATE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87110E" w:rsidRPr="001C7FC1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1C7FC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178.686.039,73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USCITE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Spese correnti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96.252.700,34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Redditi da lavoro dipendente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54.784.076,59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Retribuzioni lorde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42.736.762,31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sociali a carico dell'ente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12.047.314,28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Imposte e tasse a carico dell'ente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4.284.491,94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Imposte, tasse e proventi assimilati a carico dell'ente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4.284.491,94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Acquisto di beni e servizi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12.883.807,52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Acquisto di beni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1.526.100,00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Acquisto di servizi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11.357.707,52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23.317.615,28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Amministrazioni Pubbliche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638.194,57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Amministrazioni Centrali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Amministrazioni Locali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638.194,57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Enti di Previdenza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Famiglie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22.574.149,96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Borse di studio, dottorati di ricerca e contratti di formazione specialistica area medica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22.000.898,74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a famiglie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573.251,22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Imprese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3.111,00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imprese controllate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altre imprese partecipate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altre imprese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3.111,00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Istituzioni Sociali Private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 Istituzioni Sociali Private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versati all'Unione Europea e al Resto del Mondo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correnti al Resto del Mondo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lastRenderedPageBreak/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Trasferimenti correnti alla UE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passivi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119.091,19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su finanziamenti a breve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Interessi su Mutui e altri finanziamenti a medio lungo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119.091,19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interessi passivi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spese per redditi da capitale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Diritti reali di godimento e servitù onerose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 xml:space="preserve">Altre spese per redditi da capitale </w:t>
            </w:r>
            <w:proofErr w:type="spellStart"/>
            <w:r w:rsidRPr="0087110E">
              <w:rPr>
                <w:rFonts w:ascii="Arial" w:eastAsia="Times New Roman" w:hAnsi="Arial" w:cs="Arial"/>
                <w:lang w:eastAsia="it-IT"/>
              </w:rPr>
              <w:t>n.a.c</w:t>
            </w:r>
            <w:proofErr w:type="spellEnd"/>
            <w:r w:rsidRPr="0087110E">
              <w:rPr>
                <w:rFonts w:ascii="Arial" w:eastAsia="Times New Roman" w:hAnsi="Arial" w:cs="Arial"/>
                <w:lang w:eastAsia="it-IT"/>
              </w:rPr>
              <w:t>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Rimborsi e poste correttive delle entrate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388.328,03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 xml:space="preserve">Rimborsi per spese di personale (comando, distacco, fuori ruolo, convenzioni, </w:t>
            </w:r>
            <w:proofErr w:type="spellStart"/>
            <w:r w:rsidRPr="0087110E">
              <w:rPr>
                <w:rFonts w:ascii="Arial" w:eastAsia="Times New Roman" w:hAnsi="Arial" w:cs="Arial"/>
                <w:lang w:eastAsia="it-IT"/>
              </w:rPr>
              <w:t>ecc</w:t>
            </w:r>
            <w:proofErr w:type="spellEnd"/>
            <w:r w:rsidRPr="0087110E">
              <w:rPr>
                <w:rFonts w:ascii="Arial" w:eastAsia="Times New Roman" w:hAnsi="Arial" w:cs="Arial"/>
                <w:lang w:eastAsia="it-IT"/>
              </w:rPr>
              <w:t>…)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39.371,27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Rimborsi di trasferimenti all'Unione Europea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68.000,00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Altri Rimborsi di parte corrente di somme non dovute o incassate in eccesso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280.956,76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spese correnti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475.289,79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IVA a debito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147.852,67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Premi di assicurazione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137.626,63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Spese dovute a sanzioni, risarcimenti e indennizzi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62.582,67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 xml:space="preserve">Altre spese correnti </w:t>
            </w:r>
            <w:proofErr w:type="spellStart"/>
            <w:r w:rsidRPr="0087110E">
              <w:rPr>
                <w:rFonts w:ascii="Arial" w:eastAsia="Times New Roman" w:hAnsi="Arial" w:cs="Arial"/>
                <w:lang w:eastAsia="it-IT"/>
              </w:rPr>
              <w:t>n.a.c</w:t>
            </w:r>
            <w:proofErr w:type="spellEnd"/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87110E">
              <w:rPr>
                <w:rFonts w:ascii="Arial" w:eastAsia="Times New Roman" w:hAnsi="Arial" w:cs="Arial"/>
                <w:color w:val="000000"/>
                <w:lang w:eastAsia="it-IT"/>
              </w:rPr>
              <w:t>127.227,82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Spese in conto capitale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24.771.852,23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Investimenti fissi lordi e acquisto di terreni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23.353.388,05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Beni materiali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22.950.960,58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Terreni e beni materiali non prodotti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Beni immateriali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402.427,47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Beni materiali acquisiti mediante operazioni di leasing finanziario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136.302,06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Amministrazioni pubbliche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134.302,06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Amministrazioni Centrali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7.080,10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Amministrazioni Locali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127.221,96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Enti di Previdenza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Famiglie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Famiglie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Imprese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imprese controllate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altre imprese partecipate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altre Imprese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Istituzioni Sociali Private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 Istituzioni Sociali Private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all'Unione Europea e al Resto del Mondo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all'Unione Europea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IV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Contributi agli investimenti al Resto del Mondo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Spese per incremento attività finanziarie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Acquisizioni di attività finanziarie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Acquisizioni di partecipazioni e conferimenti di capitale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Acquisizione di titoli obbligazionari a breve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Acquisizione di titoli obbligazionari a medio-lungo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di medio-lungo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lastRenderedPageBreak/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a Amministrazioni Pubbliche a seguito di escussione di garanzie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a Famiglie a seguito di escussione di garanzie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a Imprese a seguito di escussione di garanzie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a Istituzioni Sociali Private a seguito di escussione di garanzie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Concessione crediti a Unione Europea e del Resto del Mondo a seguito di escussione di garanzie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spese per incremento di attività finanziarie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a depositi bancari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Rimborso Prestiti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374.645,23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Rimborso prestiti a breve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Rimborso finanziamenti a breve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Rimborso mutui e altri finanziamenti a medio lungo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374.645,23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Rimborso Mutui e altri finanziamenti a medio lungo termine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374.645,23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Rimborso Prestiti - Leasing finanziario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Chiusura Anticipazioni ricevute da istituto tesoriere/cassiere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Chiusura Anticipazioni ricevute da istituto tesoriere/cassiere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Chiusura Anticipazioni ricevute da istituto tesoriere/cassiere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30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7110E">
              <w:rPr>
                <w:rFonts w:ascii="Arial" w:eastAsia="Times New Roman" w:hAnsi="Arial" w:cs="Arial"/>
                <w:b/>
                <w:bCs/>
                <w:lang w:eastAsia="it-IT"/>
              </w:rPr>
              <w:t>Uscite per conto terzi e partite di giro (conti transitori)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41.540.183,71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Uscite per partite di giro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39.393.637,71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di altre ritenute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di ritenute su Redditi da lavoro dipendente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33.130.495,18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di ritenute su Redditi da lavoro autonomo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292.786,68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uscite per partite di giro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5.970.355,85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Uscite per conto terzi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2.146.546,00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Acquisto di beni e servizi per conto terzi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per conto terzi a Amministrazioni pubbliche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115.420,00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Trasferimenti per conto terzi a Altri settori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41.396,00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Depositi di/presso terzi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Versamenti di imposte e tributi riscosse per conto terzi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1.989.730,00</w:t>
            </w:r>
          </w:p>
        </w:tc>
      </w:tr>
      <w:tr w:rsidR="0087110E" w:rsidRPr="0087110E" w:rsidTr="001C7FC1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U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III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Altre uscite per conto terzi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7110E" w:rsidRPr="0087110E" w:rsidRDefault="0087110E" w:rsidP="0087110E">
            <w:pPr>
              <w:widowControl/>
              <w:autoSpaceDE/>
              <w:autoSpaceDN/>
              <w:rPr>
                <w:rFonts w:ascii="Arial" w:eastAsia="Times New Roman" w:hAnsi="Arial" w:cs="Arial"/>
                <w:lang w:eastAsia="it-IT"/>
              </w:rPr>
            </w:pPr>
            <w:r w:rsidRPr="0087110E">
              <w:rPr>
                <w:rFonts w:ascii="Arial" w:eastAsia="Times New Roman" w:hAnsi="Arial" w:cs="Arial"/>
                <w:lang w:eastAsia="it-IT"/>
              </w:rPr>
              <w:t> </w:t>
            </w:r>
          </w:p>
        </w:tc>
      </w:tr>
      <w:tr w:rsidR="001C7FC1" w:rsidRPr="0087110E" w:rsidTr="001C7FC1">
        <w:trPr>
          <w:trHeight w:val="315"/>
        </w:trPr>
        <w:tc>
          <w:tcPr>
            <w:tcW w:w="900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C7D22"/>
            <w:noWrap/>
            <w:vAlign w:val="bottom"/>
            <w:hideMark/>
          </w:tcPr>
          <w:p w:rsidR="001C7FC1" w:rsidRPr="001C7FC1" w:rsidRDefault="001C7FC1" w:rsidP="001C7FC1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it-IT"/>
              </w:rPr>
            </w:pPr>
            <w:r w:rsidRPr="001C7FC1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it-IT"/>
              </w:rPr>
              <w:t>  TOTALE GENERALE USCITE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vAlign w:val="bottom"/>
            <w:hideMark/>
          </w:tcPr>
          <w:p w:rsidR="001C7FC1" w:rsidRPr="0087110E" w:rsidRDefault="001C7FC1" w:rsidP="0087110E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1C7FC1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it-IT"/>
              </w:rPr>
              <w:t>162.939.381,51</w:t>
            </w:r>
          </w:p>
        </w:tc>
      </w:tr>
    </w:tbl>
    <w:p w:rsidR="00AE365D" w:rsidRDefault="00AE365D">
      <w:pPr>
        <w:spacing w:line="264" w:lineRule="exact"/>
      </w:pPr>
    </w:p>
    <w:p w:rsidR="00AE365D" w:rsidRDefault="00AE365D">
      <w:r>
        <w:br w:type="page"/>
      </w:r>
    </w:p>
    <w:p w:rsidR="00C5010F" w:rsidRDefault="00C5010F">
      <w:pPr>
        <w:spacing w:line="264" w:lineRule="exact"/>
        <w:sectPr w:rsidR="00C5010F">
          <w:headerReference w:type="default" r:id="rId10"/>
          <w:footerReference w:type="default" r:id="rId11"/>
          <w:pgSz w:w="11910" w:h="16840"/>
          <w:pgMar w:top="1520" w:right="420" w:bottom="1260" w:left="980" w:header="392" w:footer="1080" w:gutter="0"/>
          <w:cols w:space="720"/>
        </w:sectPr>
      </w:pPr>
    </w:p>
    <w:p w:rsidR="00C5010F" w:rsidRDefault="00C5010F">
      <w:pPr>
        <w:pStyle w:val="Corpotesto"/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1"/>
        <w:gridCol w:w="267"/>
        <w:gridCol w:w="5542"/>
        <w:gridCol w:w="890"/>
        <w:gridCol w:w="830"/>
        <w:gridCol w:w="770"/>
        <w:gridCol w:w="770"/>
        <w:gridCol w:w="830"/>
        <w:gridCol w:w="770"/>
        <w:gridCol w:w="700"/>
        <w:gridCol w:w="980"/>
        <w:gridCol w:w="830"/>
      </w:tblGrid>
      <w:tr w:rsidR="00AE365D" w:rsidRPr="00AE365D" w:rsidTr="00AE365D">
        <w:trPr>
          <w:trHeight w:val="831"/>
        </w:trPr>
        <w:tc>
          <w:tcPr>
            <w:tcW w:w="61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textDirection w:val="tbLrV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USCITE</w:t>
            </w:r>
          </w:p>
        </w:tc>
        <w:tc>
          <w:tcPr>
            <w:tcW w:w="225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MISSIONI</w:t>
            </w:r>
          </w:p>
        </w:tc>
        <w:tc>
          <w:tcPr>
            <w:tcW w:w="79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Ricerca e Innovazione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Istruzione universitaria</w:t>
            </w:r>
          </w:p>
        </w:tc>
        <w:tc>
          <w:tcPr>
            <w:tcW w:w="2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Tutela della salute</w:t>
            </w:r>
          </w:p>
        </w:tc>
        <w:tc>
          <w:tcPr>
            <w:tcW w:w="50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Servizi istituzionali e generali delle amministrazioni pubbliche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Fondi da ripartire</w:t>
            </w:r>
          </w:p>
        </w:tc>
      </w:tr>
      <w:tr w:rsidR="00AE365D" w:rsidRPr="00AE365D" w:rsidTr="00AE365D">
        <w:trPr>
          <w:trHeight w:val="612"/>
        </w:trPr>
        <w:tc>
          <w:tcPr>
            <w:tcW w:w="61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PROGRAMMI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Ricerca scientifica e tecnologica di base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Ricerca scientifica e tecnologica applicata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Sistema universitario e formazione post universitaria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Assistenza in materia sanitaria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Indirizzo politico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Servizi e affari generali per le amministrazioni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Fondi da assegnare</w:t>
            </w:r>
          </w:p>
        </w:tc>
      </w:tr>
      <w:tr w:rsidR="00AE365D" w:rsidRPr="00AE365D" w:rsidTr="00AE365D">
        <w:trPr>
          <w:trHeight w:val="450"/>
        </w:trPr>
        <w:tc>
          <w:tcPr>
            <w:tcW w:w="61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 xml:space="preserve"> Definizione COFOG (II livello) 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01.4 Ricerca di base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04.8 R&amp;S per gli affari economici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07.5 R&amp;S per la sanità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09.4 Istruzione superiore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07.3 Servizi ospedalieri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09.8 Istruzione non altrove classificato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09.8 Istruzione non altrove classificato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09.8 Istruzione non altrove classificato</w:t>
            </w:r>
          </w:p>
        </w:tc>
      </w:tr>
      <w:tr w:rsidR="00AE365D" w:rsidRPr="00AE365D" w:rsidTr="00AE365D">
        <w:trPr>
          <w:trHeight w:val="276"/>
        </w:trPr>
        <w:tc>
          <w:tcPr>
            <w:tcW w:w="61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Livello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>DESCRIZIONE CODICE ECONOMICO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7D22"/>
            <w:noWrap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  <w:t xml:space="preserve"> Totale </w:t>
            </w: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00"/>
                <w:sz w:val="12"/>
                <w:szCs w:val="12"/>
                <w:lang w:eastAsia="it-IT"/>
              </w:rPr>
            </w:pP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bookmarkStart w:id="0" w:name="_GoBack" w:colFirst="0" w:colLast="10"/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Spese correnti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96.252.700,34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33.316.524,17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1.047.048,60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1.312.742,69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38.746.555,79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4.903.345,28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325.963,80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14.996.925,69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1.603.594,32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Redditi da lavoro dipendente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54.784.076,59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25.393.519,54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303.336,49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730.902,55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18.649.165,22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4.903.345,28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4.798.092,28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5.715,23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Retribuzioni lorde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42.736.762,31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19.700.063,66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272.312,39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567.652,07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14.428.029,87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4.018.931,89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3.744.057,20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5.715,23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sociali a carico dell'ente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12.047.314,28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5.693.455,88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31.024,10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163.250,48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4.221.135,35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884.413,39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1.054.035,08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Imposte e tasse a carico dell'ente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4.284.491,94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9.739,66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521,42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1.418,53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67.800,14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346,67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4.204.533,08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132,44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Imposte, tasse e proventi assimilati a carico dell'ente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4.284.491,94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9.739,66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521,42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1.418,53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67.800,14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346,67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4.204.533,08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132,44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Acquisto di beni e servizi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12.883.807,52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2.230.051,05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225.667,52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433.101,58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2.972.898,49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325.617,13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5.248.894,03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1.447.577,72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Acquisto di beni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1.526.100,00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596.021,13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56.627,46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260.106,94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274.123,75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142.756,62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196.464,10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Acquisto di servizi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11.357.707,52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1.634.029,92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169.040,06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172.994,64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2.698.774,74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325.617,13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5.106.137,41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1.251.113,62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23.317.615,28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5.683.213,92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517.523,17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147.320,03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16.918.784,18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48.609,75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2.164,23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Amministrazioni Pubbliche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638.194,57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634.194,57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Amministrazioni Centrali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Amministrazioni Locali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638.194,57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634.194,57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4.000,00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Enti di Previdenza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Famiglie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22.574.149,96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5.683.213,92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517.523,17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147.320,03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16.224.805,17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1.287,67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Borse di studio, dottorati di ricerca e contratti di formazione specialistica area medica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22.000.898,74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5.505.041,51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512.418,57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147.320,03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15.836.118,63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Altri trasferimenti a famiglie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573.251,22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178.172,41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5.104,60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388.686,54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1.287,67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Imprese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3.111,00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2.550,00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561,00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imprese controllate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altre imprese partecipate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altre imprese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3.111,00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2.550,00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561,00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Istituzioni Sociali Private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 Istituzioni Sociali Private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versati all'Unione Europea e al Resto del Mondo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correnti al Resto del Mondo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Altri Trasferimenti correnti alla UE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Interessi passivi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119.091,19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119.091,19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Interessi su finanziamenti a breve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Interessi su Mutui e altri finanziamenti a medio lungo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119.091,19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119.091,19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Altri interessi passivi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Altre spese per redditi da capitale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Diritti reali di godimento e servitù onerose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Altre spese per redditi da capitale </w:t>
            </w:r>
            <w:proofErr w:type="spellStart"/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n.a.c</w:t>
            </w:r>
            <w:proofErr w:type="spellEnd"/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Rimborsi e poste correttive delle entrate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388.328,03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137.907,76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250.420,27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Rimborsi per spese di personale (comando, distacco, fuori ruolo, convenzioni, </w:t>
            </w:r>
            <w:proofErr w:type="spellStart"/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ecc</w:t>
            </w:r>
            <w:proofErr w:type="spellEnd"/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…)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39.371,27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39.371,27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Rimborsi di trasferimenti all'Unione Europea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68.000,00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68.000,00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Altri Rimborsi di parte corrente di somme non dovute o incassate in eccesso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280.956,76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137.907,76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143.049,00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Altre spese correnti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475.289,79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327.285,09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148.004,70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IVA a debito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147.852,67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147.852,67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Premi di assicurazione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137.626,63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137.501,23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125,40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Spese dovute a sanzioni, risarcimenti e indennizzi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62.582,67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62.582,67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 xml:space="preserve">Altre spese correnti </w:t>
            </w:r>
            <w:proofErr w:type="spellStart"/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n.a.c</w:t>
            </w:r>
            <w:proofErr w:type="spellEnd"/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127.227,82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127.201,19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26,63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Spese in conto capitale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24.771.852,23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1.640.399,63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89.832,21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267.295,71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435.684,08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21.569.256,12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769.384,48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Investimenti fissi lordi e acquisto di terreni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23.353.388,05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453.145,01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89.832,21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267.295,71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435.684,08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21.569.256,12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538.174,92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Beni materiali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22.950.960,58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447.666,50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62.899,00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267.295,71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329.996,37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21.377.827,99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465.275,01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Terreni e beni materiali non prodotti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Beni immateriali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402.427,47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5.478,51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26.933,21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105.687,71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191.428,13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72.899,91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Beni materiali acquisiti mediante operazioni di leasing finanziario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136.302,06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136.302,06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Amministrazioni pubbliche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134.302,06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134.302,06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Amministrazioni Centrali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7.080,10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7.080,10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Amministrazioni Locali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127.221,96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127.221,96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lastRenderedPageBreak/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Enti di Previdenza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Famiglie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Famiglie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Imprese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imprese controllate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altre imprese partecipate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altre Imprese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Istituzioni Sociali Private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 Istituzioni Sociali Private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all'Unione Europea e al Resto del Mondo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all'Unione Europea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IV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Contributi agli investimenti al Resto del Mondo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Spese per incremento attività finanziarie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Acquisizioni di attività finanziarie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Acquisizioni di partecipazioni e conferimenti di capitale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Acquisizione di titoli obbligazionari a breve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Acquisizione di titoli obbligazionari a medio-lungo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di medio-lungo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a Amministrazioni Pubbliche a seguito di escussione di garanzie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a Famiglie a seguito di escussione di garanzie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a Imprese a seguito di escussione di garanzie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a Istituzioni Sociali Private a seguito di escussione di garanzie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Concessione crediti a Unione Europea e del Resto del Mondo a seguito di escussione di garanzie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Altre spese per incremento di attività finanziarie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a depositi bancari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Rimborso Prestiti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Rimborso prestiti a breve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Rimborso finanziamenti a breve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Rimborso mutui e altri finanziamenti a medio lungo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Rimborso Mutui e altri finanziamenti a medio lungo termine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374.645,23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Rimborso Prestiti - Leasing finanziario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Chiusura Anticipazioni ricevute da istituto tesoriere/cassiere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Chiusura Anticipazioni ricevute da istituto tesoriere/cassiere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Chiusura Anticipazioni ricevute da istituto tesoriere/cassiere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Uscite per conto terzi e partite di giro (conti transitori)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41.540.183,71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126.029,76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146.991,45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23.524,31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1.206.261,06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3.381.411,31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36.655.965,82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Uscite per partite di giro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39.393.637,71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121.029,76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8.935,45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9.764,31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1.206.261,06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1.391.681,31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36.655.965,82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di altre ritenute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di ritenute su Redditi da lavoro dipendente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33.130.495,18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9.213,44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503,17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9.764,31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318.717,98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32.792.296,28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di ritenute su Redditi da lavoro autonomo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292.786,68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80,00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292.706,68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Altre uscite per partite di giro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5.970.355,85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111.816,32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8.432,28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1.206.261,06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1.072.883,33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3.570.962,86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Uscite per conto terzi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2.146.546,00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5.000,00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138.056,00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13.760,00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1.989.730,00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Acquisto di beni e servizi per conto terzi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per conto terzi a Amministrazioni pubbliche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115.420,00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5.000,00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96.660,00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13.760,00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Trasferimenti per conto terzi a Altri settori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41.396,00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41.396,00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Depositi di/presso terzi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Versamenti di imposte e tributi riscosse per conto terzi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1.989.730,00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1.989.730,00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U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III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Altre uscite per conto terzi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0,00</w:t>
            </w:r>
          </w:p>
        </w:tc>
      </w:tr>
      <w:tr w:rsidR="00AE365D" w:rsidRPr="00AE365D" w:rsidTr="00AE365D">
        <w:trPr>
          <w:trHeight w:val="20"/>
        </w:trPr>
        <w:tc>
          <w:tcPr>
            <w:tcW w:w="5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TOTALE GENERALE USCITE</w:t>
            </w:r>
          </w:p>
        </w:tc>
        <w:tc>
          <w:tcPr>
            <w:tcW w:w="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162.939.381,51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35.082.953,56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1.283.872,26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1.603.562,71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40.388.500,93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4.903.345,28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325.963,80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40.322.238,35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D973"/>
            <w:noWrap/>
            <w:vAlign w:val="bottom"/>
            <w:hideMark/>
          </w:tcPr>
          <w:p w:rsidR="00AE365D" w:rsidRPr="00AE365D" w:rsidRDefault="00AE365D" w:rsidP="00AE365D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</w:pPr>
            <w:r w:rsidRPr="00AE36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it-IT"/>
              </w:rPr>
              <w:t>39.028.944,62</w:t>
            </w:r>
          </w:p>
        </w:tc>
      </w:tr>
      <w:bookmarkEnd w:id="0"/>
    </w:tbl>
    <w:p w:rsidR="00C84A3C" w:rsidRDefault="00C84A3C">
      <w:pPr>
        <w:pStyle w:val="Corpotesto"/>
        <w:rPr>
          <w:sz w:val="20"/>
        </w:rPr>
      </w:pPr>
    </w:p>
    <w:p w:rsidR="00C5010F" w:rsidRDefault="00C5010F">
      <w:pPr>
        <w:pStyle w:val="Corpotesto"/>
        <w:rPr>
          <w:sz w:val="20"/>
        </w:rPr>
      </w:pPr>
    </w:p>
    <w:p w:rsidR="00C5010F" w:rsidRDefault="00C5010F">
      <w:pPr>
        <w:pStyle w:val="Corpotesto"/>
        <w:spacing w:before="7"/>
        <w:rPr>
          <w:sz w:val="23"/>
        </w:rPr>
      </w:pPr>
    </w:p>
    <w:p w:rsidR="00C5010F" w:rsidRDefault="00C5010F">
      <w:pPr>
        <w:pStyle w:val="Corpotesto"/>
        <w:spacing w:before="5"/>
        <w:rPr>
          <w:rFonts w:ascii="Tahoma"/>
          <w:b/>
          <w:sz w:val="25"/>
        </w:rPr>
      </w:pPr>
    </w:p>
    <w:sectPr w:rsidR="00C5010F">
      <w:headerReference w:type="default" r:id="rId12"/>
      <w:footerReference w:type="default" r:id="rId13"/>
      <w:pgSz w:w="16840" w:h="11910" w:orient="landscape"/>
      <w:pgMar w:top="380" w:right="1300" w:bottom="1260" w:left="520" w:header="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9D" w:rsidRDefault="0003009D">
      <w:r>
        <w:separator/>
      </w:r>
    </w:p>
  </w:endnote>
  <w:endnote w:type="continuationSeparator" w:id="0">
    <w:p w:rsidR="0003009D" w:rsidRDefault="0003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38365"/>
      <w:docPartObj>
        <w:docPartGallery w:val="Page Numbers (Bottom of Page)"/>
        <w:docPartUnique/>
      </w:docPartObj>
    </w:sdtPr>
    <w:sdtEndPr/>
    <w:sdtContent>
      <w:p w:rsidR="0087110E" w:rsidRDefault="0087110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65D">
          <w:rPr>
            <w:noProof/>
          </w:rPr>
          <w:t>1</w:t>
        </w:r>
        <w:r>
          <w:fldChar w:fldCharType="end"/>
        </w:r>
      </w:p>
    </w:sdtContent>
  </w:sdt>
  <w:p w:rsidR="0087110E" w:rsidRDefault="008711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7392" behindDoc="1" locked="0" layoutInCell="1" allowOverlap="1">
              <wp:simplePos x="0" y="0"/>
              <wp:positionH relativeFrom="page">
                <wp:posOffset>6725285</wp:posOffset>
              </wp:positionH>
              <wp:positionV relativeFrom="page">
                <wp:posOffset>9867265</wp:posOffset>
              </wp:positionV>
              <wp:extent cx="153670" cy="1778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10E" w:rsidRDefault="0087110E">
                          <w:pPr>
                            <w:spacing w:line="264" w:lineRule="exact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29.55pt;margin-top:776.95pt;width:12.1pt;height:14pt;z-index:-1672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g52sg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" filled="f" stroked="f">
              <v:textbox inset="0,0,0,0">
                <w:txbxContent>
                  <w:p w:rsidR="0087110E" w:rsidRDefault="0087110E">
                    <w:pPr>
                      <w:spacing w:line="264" w:lineRule="exact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7904" behindDoc="1" locked="0" layoutInCell="1" allowOverlap="1">
              <wp:simplePos x="0" y="0"/>
              <wp:positionH relativeFrom="page">
                <wp:posOffset>9702800</wp:posOffset>
              </wp:positionH>
              <wp:positionV relativeFrom="page">
                <wp:posOffset>6735445</wp:posOffset>
              </wp:positionV>
              <wp:extent cx="10287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10E" w:rsidRDefault="0087110E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64pt;margin-top:530.35pt;width:8.1pt;height:14pt;z-index:-167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40bsA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" filled="f" stroked="f">
              <v:textbox inset="0,0,0,0">
                <w:txbxContent>
                  <w:p w:rsidR="0087110E" w:rsidRDefault="0087110E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9D" w:rsidRDefault="0003009D">
      <w:r>
        <w:separator/>
      </w:r>
    </w:p>
  </w:footnote>
  <w:footnote w:type="continuationSeparator" w:id="0">
    <w:p w:rsidR="0003009D" w:rsidRDefault="0003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586880" behindDoc="1" locked="0" layoutInCell="1" allowOverlap="1">
              <wp:simplePos x="0" y="0"/>
              <wp:positionH relativeFrom="page">
                <wp:posOffset>1189990</wp:posOffset>
              </wp:positionH>
              <wp:positionV relativeFrom="page">
                <wp:posOffset>788670</wp:posOffset>
              </wp:positionV>
              <wp:extent cx="1562100" cy="1949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10E" w:rsidRDefault="0087110E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7pt;margin-top:62.1pt;width:123pt;height:15.35pt;z-index:-167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udqwIAAKk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" filled="f" stroked="f">
              <v:textbox inset="0,0,0,0">
                <w:txbxContent>
                  <w:p w:rsidR="0087110E" w:rsidRDefault="0087110E">
                    <w:pPr>
                      <w:spacing w:before="21"/>
                      <w:ind w:left="20"/>
                      <w:rPr>
                        <w:rFonts w:ascii="Tahoma" w:hAnsi="Tahoma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0E" w:rsidRDefault="0087110E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0F"/>
    <w:rsid w:val="000074E5"/>
    <w:rsid w:val="0003009D"/>
    <w:rsid w:val="000B7D90"/>
    <w:rsid w:val="00180EE4"/>
    <w:rsid w:val="001C7FC1"/>
    <w:rsid w:val="001F126B"/>
    <w:rsid w:val="00233495"/>
    <w:rsid w:val="002E00EC"/>
    <w:rsid w:val="00310E89"/>
    <w:rsid w:val="00346219"/>
    <w:rsid w:val="003E5537"/>
    <w:rsid w:val="004043C2"/>
    <w:rsid w:val="00446854"/>
    <w:rsid w:val="00481F92"/>
    <w:rsid w:val="004D6923"/>
    <w:rsid w:val="005A0A61"/>
    <w:rsid w:val="00621B67"/>
    <w:rsid w:val="006C7289"/>
    <w:rsid w:val="006E7D42"/>
    <w:rsid w:val="00780526"/>
    <w:rsid w:val="007D7814"/>
    <w:rsid w:val="0084322A"/>
    <w:rsid w:val="00856B10"/>
    <w:rsid w:val="0087110E"/>
    <w:rsid w:val="008866B6"/>
    <w:rsid w:val="0089238C"/>
    <w:rsid w:val="008E786F"/>
    <w:rsid w:val="00972E7E"/>
    <w:rsid w:val="009759CA"/>
    <w:rsid w:val="00A058A7"/>
    <w:rsid w:val="00A40E62"/>
    <w:rsid w:val="00AC7522"/>
    <w:rsid w:val="00AE365D"/>
    <w:rsid w:val="00B17B28"/>
    <w:rsid w:val="00B927C8"/>
    <w:rsid w:val="00C5010F"/>
    <w:rsid w:val="00C84A3C"/>
    <w:rsid w:val="00D0271B"/>
    <w:rsid w:val="00D432B9"/>
    <w:rsid w:val="00D92A24"/>
    <w:rsid w:val="00DA1B79"/>
    <w:rsid w:val="00F6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528826-72DE-4100-91B8-93158CDC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1"/>
      <w:ind w:left="20"/>
      <w:outlineLvl w:val="0"/>
    </w:pPr>
    <w:rPr>
      <w:rFonts w:ascii="Tahoma" w:eastAsia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01"/>
      <w:ind w:left="2462" w:right="2305"/>
      <w:jc w:val="center"/>
    </w:pPr>
    <w:rPr>
      <w:rFonts w:ascii="Tahoma" w:eastAsia="Tahoma" w:hAnsi="Tahoma" w:cs="Tahoma"/>
      <w:b/>
      <w:b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48" w:lineRule="exact"/>
      <w:jc w:val="right"/>
    </w:pPr>
  </w:style>
  <w:style w:type="paragraph" w:styleId="Intestazione">
    <w:name w:val="header"/>
    <w:basedOn w:val="Normale"/>
    <w:link w:val="IntestazioneCarattere"/>
    <w:uiPriority w:val="99"/>
    <w:unhideWhenUsed/>
    <w:rsid w:val="00A058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A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058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A7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A05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972E7E"/>
  </w:style>
  <w:style w:type="character" w:styleId="Collegamentoipertestuale">
    <w:name w:val="Hyperlink"/>
    <w:basedOn w:val="Carpredefinitoparagrafo"/>
    <w:uiPriority w:val="99"/>
    <w:semiHidden/>
    <w:unhideWhenUsed/>
    <w:rsid w:val="00972E7E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2E7E"/>
    <w:rPr>
      <w:color w:val="954F72"/>
      <w:u w:val="single"/>
    </w:rPr>
  </w:style>
  <w:style w:type="paragraph" w:customStyle="1" w:styleId="xl67">
    <w:name w:val="xl67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8">
    <w:name w:val="xl6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69">
    <w:name w:val="xl6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rsid w:val="00972E7E"/>
    <w:pPr>
      <w:widowControl/>
      <w:shd w:val="clear" w:color="000000" w:fill="F2F2F2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3">
    <w:name w:val="xl73"/>
    <w:basedOn w:val="Normale"/>
    <w:rsid w:val="00972E7E"/>
    <w:pPr>
      <w:widowControl/>
      <w:shd w:val="clear" w:color="000000" w:fill="D9D9D9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4">
    <w:name w:val="xl74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972E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76">
    <w:name w:val="xl7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77">
    <w:name w:val="xl77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972E7E"/>
    <w:pPr>
      <w:widowControl/>
      <w:shd w:val="clear" w:color="000000" w:fill="D9E1F2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0">
    <w:name w:val="xl80"/>
    <w:basedOn w:val="Normale"/>
    <w:rsid w:val="00972E7E"/>
    <w:pPr>
      <w:widowControl/>
      <w:shd w:val="clear" w:color="000000" w:fill="BDD7EE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972E7E"/>
    <w:pPr>
      <w:widowControl/>
      <w:shd w:val="clear" w:color="000000" w:fill="9BC2E6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3">
    <w:name w:val="xl8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6">
    <w:name w:val="xl8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7">
    <w:name w:val="xl8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8">
    <w:name w:val="xl8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9">
    <w:name w:val="xl8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0">
    <w:name w:val="xl9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1">
    <w:name w:val="xl91"/>
    <w:basedOn w:val="Normale"/>
    <w:rsid w:val="00972E7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2">
    <w:name w:val="xl92"/>
    <w:basedOn w:val="Normale"/>
    <w:rsid w:val="00972E7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3">
    <w:name w:val="xl93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94">
    <w:name w:val="xl94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95">
    <w:name w:val="xl95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6">
    <w:name w:val="xl9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7">
    <w:name w:val="xl9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8">
    <w:name w:val="xl9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99">
    <w:name w:val="xl9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101">
    <w:name w:val="xl10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02">
    <w:name w:val="xl102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03">
    <w:name w:val="xl10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04">
    <w:name w:val="xl104"/>
    <w:basedOn w:val="Normale"/>
    <w:rsid w:val="00972E7E"/>
    <w:pPr>
      <w:widowControl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C2E6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6">
    <w:name w:val="xl106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DD7EE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7">
    <w:name w:val="xl107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8">
    <w:name w:val="xl108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9">
    <w:name w:val="xl109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0">
    <w:name w:val="xl110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1">
    <w:name w:val="xl111"/>
    <w:basedOn w:val="Normale"/>
    <w:rsid w:val="00972E7E"/>
    <w:pPr>
      <w:widowControl/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12">
    <w:name w:val="xl112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3">
    <w:name w:val="xl113"/>
    <w:basedOn w:val="Normale"/>
    <w:rsid w:val="00972E7E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customStyle="1" w:styleId="xl114">
    <w:name w:val="xl114"/>
    <w:basedOn w:val="Normale"/>
    <w:rsid w:val="00972E7E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msonormal0">
    <w:name w:val="msonormal"/>
    <w:basedOn w:val="Normale"/>
    <w:rsid w:val="00856B1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56B10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6">
    <w:name w:val="xl66"/>
    <w:basedOn w:val="Normale"/>
    <w:rsid w:val="00856B10"/>
    <w:pPr>
      <w:widowControl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7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DI PISA</vt:lpstr>
    </vt:vector>
  </TitlesOfParts>
  <Company/>
  <LinksUpToDate>false</LinksUpToDate>
  <CharactersWithSpaces>28048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DI PISA</dc:title>
  <dc:creator>Puccinelli</dc:creator>
  <cp:lastModifiedBy>Carmela Marseglia</cp:lastModifiedBy>
  <cp:revision>9</cp:revision>
  <dcterms:created xsi:type="dcterms:W3CDTF">2024-06-14T08:45:00Z</dcterms:created>
  <dcterms:modified xsi:type="dcterms:W3CDTF">2024-06-17T06:45:00Z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2023-06-13T00:00:00Z</vt:filetime>
  </property>
</Properties>
</file>