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10F" w:rsidRDefault="00C5010F">
      <w:pPr>
        <w:pStyle w:val="Corpotesto"/>
        <w:spacing w:before="9"/>
        <w:rPr>
          <w:rFonts w:ascii="Times New Roman"/>
          <w:sz w:val="16"/>
        </w:rPr>
      </w:pPr>
    </w:p>
    <w:p w:rsidR="00C5010F" w:rsidRDefault="00C5010F">
      <w:pPr>
        <w:pStyle w:val="Corpotesto"/>
        <w:rPr>
          <w:b/>
          <w:sz w:val="20"/>
        </w:rPr>
      </w:pPr>
    </w:p>
    <w:p w:rsidR="00C5010F" w:rsidRDefault="00C5010F">
      <w:pPr>
        <w:pStyle w:val="Corpotesto"/>
        <w:rPr>
          <w:b/>
          <w:sz w:val="20"/>
        </w:rPr>
      </w:pPr>
    </w:p>
    <w:p w:rsidR="00C5010F" w:rsidRDefault="00C5010F">
      <w:pPr>
        <w:pStyle w:val="Corpotesto"/>
        <w:spacing w:before="1"/>
        <w:rPr>
          <w:b/>
          <w:sz w:val="19"/>
        </w:rPr>
      </w:pPr>
    </w:p>
    <w:p w:rsidR="00C5010F" w:rsidRDefault="00C5010F">
      <w:pPr>
        <w:pStyle w:val="Corpotesto"/>
        <w:rPr>
          <w:b/>
          <w:sz w:val="20"/>
        </w:rPr>
      </w:pPr>
    </w:p>
    <w:p w:rsidR="00C5010F" w:rsidRDefault="00C5010F">
      <w:pPr>
        <w:pStyle w:val="Corpotesto"/>
        <w:rPr>
          <w:b/>
          <w:sz w:val="20"/>
        </w:rPr>
      </w:pPr>
    </w:p>
    <w:p w:rsidR="00C5010F" w:rsidRDefault="00C5010F">
      <w:pPr>
        <w:pStyle w:val="Corpotesto"/>
        <w:rPr>
          <w:rFonts w:ascii="Tahoma"/>
          <w:b/>
          <w:sz w:val="20"/>
        </w:rPr>
      </w:pPr>
    </w:p>
    <w:p w:rsidR="00C5010F" w:rsidRDefault="00C5010F">
      <w:pPr>
        <w:pStyle w:val="Corpotesto"/>
        <w:rPr>
          <w:rFonts w:ascii="Tahoma"/>
          <w:b/>
          <w:sz w:val="20"/>
        </w:rPr>
      </w:pPr>
    </w:p>
    <w:p w:rsidR="00C5010F" w:rsidRDefault="00C5010F">
      <w:pPr>
        <w:pStyle w:val="Corpotesto"/>
        <w:rPr>
          <w:rFonts w:ascii="Tahoma"/>
          <w:b/>
          <w:sz w:val="20"/>
        </w:rPr>
      </w:pPr>
    </w:p>
    <w:p w:rsidR="00C5010F" w:rsidRDefault="00C5010F">
      <w:pPr>
        <w:pStyle w:val="Corpotesto"/>
        <w:rPr>
          <w:rFonts w:ascii="Tahoma"/>
          <w:b/>
          <w:sz w:val="20"/>
        </w:rPr>
      </w:pPr>
    </w:p>
    <w:p w:rsidR="00C5010F" w:rsidRDefault="00C5010F">
      <w:pPr>
        <w:pStyle w:val="Corpotesto"/>
        <w:spacing w:before="7"/>
        <w:rPr>
          <w:rFonts w:ascii="Tahoma"/>
          <w:b/>
          <w:sz w:val="19"/>
        </w:rPr>
      </w:pPr>
    </w:p>
    <w:p w:rsidR="00C5010F" w:rsidRPr="007D7814" w:rsidRDefault="007D7814" w:rsidP="007D7814">
      <w:pPr>
        <w:pStyle w:val="Corpotesto"/>
        <w:jc w:val="center"/>
        <w:rPr>
          <w:rFonts w:asciiTheme="minorHAnsi" w:hAnsiTheme="minorHAnsi" w:cstheme="minorHAnsi"/>
          <w:b/>
          <w:sz w:val="72"/>
          <w:szCs w:val="72"/>
        </w:rPr>
      </w:pPr>
      <w:r w:rsidRPr="007D7814">
        <w:rPr>
          <w:rFonts w:asciiTheme="minorHAnsi" w:hAnsiTheme="minorHAnsi" w:cstheme="minorHAnsi"/>
          <w:b/>
          <w:sz w:val="72"/>
          <w:szCs w:val="72"/>
        </w:rPr>
        <w:t>UNIVERSITÀ</w:t>
      </w:r>
      <w:r w:rsidR="00233495" w:rsidRPr="007D7814">
        <w:rPr>
          <w:rFonts w:asciiTheme="minorHAnsi" w:hAnsiTheme="minorHAnsi" w:cstheme="minorHAnsi"/>
          <w:b/>
          <w:sz w:val="72"/>
          <w:szCs w:val="72"/>
        </w:rPr>
        <w:t xml:space="preserve"> DI FOGGIA</w:t>
      </w:r>
    </w:p>
    <w:p w:rsidR="00C5010F" w:rsidRDefault="00C5010F" w:rsidP="007D7814">
      <w:pPr>
        <w:pStyle w:val="Corpotes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D7814" w:rsidRDefault="007D7814" w:rsidP="007D7814">
      <w:pPr>
        <w:pStyle w:val="Corpotes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D7814" w:rsidRDefault="007D7814" w:rsidP="007D7814">
      <w:pPr>
        <w:pStyle w:val="Corpotes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D7814" w:rsidRPr="007D7814" w:rsidRDefault="007D7814" w:rsidP="007D7814">
      <w:pPr>
        <w:pStyle w:val="Corpotes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D7814" w:rsidRPr="007D7814" w:rsidRDefault="009759CA" w:rsidP="007D7814">
      <w:pPr>
        <w:spacing w:before="256" w:line="259" w:lineRule="auto"/>
        <w:ind w:right="162"/>
        <w:jc w:val="center"/>
        <w:rPr>
          <w:rFonts w:asciiTheme="minorHAnsi" w:hAnsiTheme="minorHAnsi" w:cstheme="minorHAnsi"/>
          <w:b/>
          <w:spacing w:val="1"/>
          <w:sz w:val="44"/>
          <w:szCs w:val="44"/>
        </w:rPr>
      </w:pPr>
      <w:r w:rsidRPr="007D7814">
        <w:rPr>
          <w:rFonts w:asciiTheme="minorHAnsi" w:hAnsiTheme="minorHAnsi" w:cstheme="minorHAnsi"/>
          <w:b/>
          <w:sz w:val="44"/>
          <w:szCs w:val="44"/>
        </w:rPr>
        <w:t>Rendiconto unico in contabilità</w:t>
      </w:r>
      <w:r w:rsidR="007D7814" w:rsidRPr="007D7814">
        <w:rPr>
          <w:rFonts w:asciiTheme="minorHAnsi" w:hAnsiTheme="minorHAnsi" w:cstheme="minorHAnsi"/>
          <w:b/>
          <w:sz w:val="44"/>
          <w:szCs w:val="44"/>
        </w:rPr>
        <w:t xml:space="preserve"> </w:t>
      </w:r>
      <w:r w:rsidR="007D7814" w:rsidRPr="007D7814">
        <w:rPr>
          <w:rFonts w:asciiTheme="minorHAnsi" w:hAnsiTheme="minorHAnsi" w:cstheme="minorHAnsi"/>
          <w:b/>
          <w:spacing w:val="-138"/>
          <w:sz w:val="44"/>
          <w:szCs w:val="44"/>
        </w:rPr>
        <w:t xml:space="preserve">  </w:t>
      </w:r>
      <w:proofErr w:type="gramStart"/>
      <w:r w:rsidRPr="007D7814">
        <w:rPr>
          <w:rFonts w:asciiTheme="minorHAnsi" w:hAnsiTheme="minorHAnsi" w:cstheme="minorHAnsi"/>
          <w:b/>
          <w:sz w:val="44"/>
          <w:szCs w:val="44"/>
        </w:rPr>
        <w:t>finanziaria</w:t>
      </w:r>
      <w:r w:rsidR="007D7814" w:rsidRPr="007D7814">
        <w:rPr>
          <w:rFonts w:asciiTheme="minorHAnsi" w:hAnsiTheme="minorHAnsi" w:cstheme="minorHAnsi"/>
          <w:b/>
          <w:sz w:val="44"/>
          <w:szCs w:val="44"/>
        </w:rPr>
        <w:t xml:space="preserve"> </w:t>
      </w:r>
      <w:r w:rsidR="007D7814" w:rsidRPr="007D7814">
        <w:rPr>
          <w:rFonts w:asciiTheme="minorHAnsi" w:hAnsiTheme="minorHAnsi" w:cstheme="minorHAnsi"/>
          <w:b/>
          <w:spacing w:val="-138"/>
          <w:sz w:val="44"/>
          <w:szCs w:val="44"/>
        </w:rPr>
        <w:t xml:space="preserve"> </w:t>
      </w:r>
      <w:r w:rsidRPr="007D7814">
        <w:rPr>
          <w:rFonts w:asciiTheme="minorHAnsi" w:hAnsiTheme="minorHAnsi" w:cstheme="minorHAnsi"/>
          <w:b/>
          <w:sz w:val="44"/>
          <w:szCs w:val="44"/>
        </w:rPr>
        <w:t>e</w:t>
      </w:r>
      <w:proofErr w:type="gramEnd"/>
    </w:p>
    <w:p w:rsidR="00C5010F" w:rsidRDefault="007D7814" w:rsidP="007D7814">
      <w:pPr>
        <w:spacing w:before="256" w:line="259" w:lineRule="auto"/>
        <w:ind w:right="162"/>
        <w:jc w:val="center"/>
        <w:rPr>
          <w:rFonts w:asciiTheme="minorHAnsi" w:hAnsiTheme="minorHAnsi" w:cstheme="minorHAnsi"/>
          <w:b/>
          <w:sz w:val="44"/>
          <w:szCs w:val="44"/>
        </w:rPr>
      </w:pPr>
      <w:r w:rsidRPr="007D7814">
        <w:rPr>
          <w:rFonts w:asciiTheme="minorHAnsi" w:hAnsiTheme="minorHAnsi" w:cstheme="minorHAnsi"/>
          <w:b/>
          <w:sz w:val="44"/>
          <w:szCs w:val="44"/>
        </w:rPr>
        <w:t xml:space="preserve">Classificazione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della</w:t>
      </w:r>
      <w:r w:rsidR="009759CA" w:rsidRPr="007D7814">
        <w:rPr>
          <w:rFonts w:asciiTheme="minorHAnsi" w:hAnsiTheme="minorHAnsi" w:cstheme="minorHAnsi"/>
          <w:b/>
          <w:spacing w:val="-7"/>
          <w:sz w:val="44"/>
          <w:szCs w:val="44"/>
        </w:rPr>
        <w:t xml:space="preserve">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spesa</w:t>
      </w:r>
      <w:r w:rsidR="009759CA" w:rsidRPr="007D7814">
        <w:rPr>
          <w:rFonts w:asciiTheme="minorHAnsi" w:hAnsiTheme="minorHAnsi" w:cstheme="minorHAnsi"/>
          <w:b/>
          <w:spacing w:val="-6"/>
          <w:sz w:val="44"/>
          <w:szCs w:val="44"/>
        </w:rPr>
        <w:t xml:space="preserve">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per</w:t>
      </w:r>
      <w:r w:rsidRPr="007D7814">
        <w:rPr>
          <w:rFonts w:asciiTheme="minorHAnsi" w:hAnsiTheme="minorHAnsi" w:cstheme="minorHAnsi"/>
          <w:b/>
          <w:sz w:val="44"/>
          <w:szCs w:val="44"/>
        </w:rPr>
        <w:t xml:space="preserve">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Missioni</w:t>
      </w:r>
      <w:r w:rsidR="009759CA" w:rsidRPr="007D7814">
        <w:rPr>
          <w:rFonts w:asciiTheme="minorHAnsi" w:hAnsiTheme="minorHAnsi" w:cstheme="minorHAnsi"/>
          <w:b/>
          <w:spacing w:val="-7"/>
          <w:sz w:val="44"/>
          <w:szCs w:val="44"/>
        </w:rPr>
        <w:t xml:space="preserve">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e</w:t>
      </w:r>
      <w:r w:rsidR="009759CA" w:rsidRPr="007D7814">
        <w:rPr>
          <w:rFonts w:asciiTheme="minorHAnsi" w:hAnsiTheme="minorHAnsi" w:cstheme="minorHAnsi"/>
          <w:b/>
          <w:spacing w:val="-4"/>
          <w:sz w:val="44"/>
          <w:szCs w:val="44"/>
        </w:rPr>
        <w:t xml:space="preserve">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Programmi</w:t>
      </w:r>
    </w:p>
    <w:p w:rsidR="007D7814" w:rsidRPr="007D7814" w:rsidRDefault="007D7814" w:rsidP="007D7814">
      <w:pPr>
        <w:spacing w:before="256" w:line="259" w:lineRule="auto"/>
        <w:ind w:right="162"/>
        <w:jc w:val="center"/>
        <w:rPr>
          <w:rFonts w:asciiTheme="minorHAnsi" w:hAnsiTheme="minorHAnsi" w:cstheme="minorHAnsi"/>
          <w:b/>
          <w:sz w:val="44"/>
          <w:szCs w:val="44"/>
        </w:rPr>
      </w:pPr>
    </w:p>
    <w:p w:rsidR="00C5010F" w:rsidRPr="007D7814" w:rsidRDefault="009759CA" w:rsidP="007D7814">
      <w:pPr>
        <w:spacing w:before="162"/>
        <w:ind w:left="2462" w:right="2304"/>
        <w:jc w:val="center"/>
        <w:rPr>
          <w:rFonts w:asciiTheme="minorHAnsi" w:hAnsiTheme="minorHAnsi" w:cstheme="minorHAnsi"/>
          <w:b/>
          <w:sz w:val="44"/>
          <w:szCs w:val="44"/>
        </w:rPr>
      </w:pPr>
      <w:r w:rsidRPr="007D7814">
        <w:rPr>
          <w:rFonts w:asciiTheme="minorHAnsi" w:hAnsiTheme="minorHAnsi" w:cstheme="minorHAnsi"/>
          <w:b/>
          <w:sz w:val="44"/>
          <w:szCs w:val="44"/>
        </w:rPr>
        <w:t>Esercizio</w:t>
      </w:r>
      <w:r w:rsidRPr="007D7814">
        <w:rPr>
          <w:rFonts w:asciiTheme="minorHAnsi" w:hAnsiTheme="minorHAnsi" w:cstheme="minorHAnsi"/>
          <w:b/>
          <w:spacing w:val="-5"/>
          <w:sz w:val="44"/>
          <w:szCs w:val="44"/>
        </w:rPr>
        <w:t xml:space="preserve"> </w:t>
      </w:r>
      <w:r w:rsidRPr="007D7814">
        <w:rPr>
          <w:rFonts w:asciiTheme="minorHAnsi" w:hAnsiTheme="minorHAnsi" w:cstheme="minorHAnsi"/>
          <w:b/>
          <w:sz w:val="44"/>
          <w:szCs w:val="44"/>
        </w:rPr>
        <w:t>2022</w:t>
      </w:r>
    </w:p>
    <w:p w:rsidR="00C5010F" w:rsidRPr="007D7814" w:rsidRDefault="00C5010F" w:rsidP="007D7814">
      <w:pPr>
        <w:pStyle w:val="Corpotes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5010F" w:rsidRPr="007D7814" w:rsidRDefault="00C5010F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:rsidR="00C5010F" w:rsidRPr="007D7814" w:rsidRDefault="00C5010F">
      <w:pPr>
        <w:pStyle w:val="Corpotesto"/>
        <w:spacing w:before="4"/>
        <w:rPr>
          <w:rFonts w:asciiTheme="minorHAnsi" w:hAnsiTheme="minorHAnsi" w:cstheme="minorHAnsi"/>
          <w:b/>
          <w:sz w:val="24"/>
          <w:szCs w:val="24"/>
        </w:rPr>
      </w:pPr>
    </w:p>
    <w:p w:rsidR="00C5010F" w:rsidRPr="007D7814" w:rsidRDefault="00C5010F">
      <w:pPr>
        <w:rPr>
          <w:rFonts w:asciiTheme="minorHAnsi" w:hAnsiTheme="minorHAnsi" w:cstheme="minorHAnsi"/>
          <w:sz w:val="24"/>
          <w:szCs w:val="24"/>
        </w:rPr>
        <w:sectPr w:rsidR="00C5010F" w:rsidRPr="007D7814">
          <w:headerReference w:type="default" r:id="rId6"/>
          <w:footerReference w:type="default" r:id="rId7"/>
          <w:type w:val="continuous"/>
          <w:pgSz w:w="11910" w:h="16840"/>
          <w:pgMar w:top="1440" w:right="420" w:bottom="280" w:left="980" w:header="384" w:footer="720" w:gutter="0"/>
          <w:pgNumType w:start="1"/>
          <w:cols w:space="720"/>
        </w:sectPr>
      </w:pPr>
    </w:p>
    <w:p w:rsidR="00C5010F" w:rsidRPr="007D7814" w:rsidRDefault="00C5010F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:rsidR="00C5010F" w:rsidRPr="007D7814" w:rsidRDefault="009759CA" w:rsidP="00D0271B">
      <w:pPr>
        <w:pStyle w:val="Corpotesto"/>
        <w:spacing w:line="360" w:lineRule="auto"/>
        <w:ind w:left="153" w:right="709"/>
        <w:jc w:val="both"/>
        <w:rPr>
          <w:rFonts w:asciiTheme="minorHAnsi" w:hAnsiTheme="minorHAnsi" w:cstheme="minorHAnsi"/>
          <w:sz w:val="24"/>
          <w:szCs w:val="24"/>
        </w:rPr>
      </w:pPr>
      <w:r w:rsidRPr="007D7814">
        <w:rPr>
          <w:rFonts w:asciiTheme="minorHAnsi" w:hAnsiTheme="minorHAnsi" w:cstheme="minorHAnsi"/>
          <w:sz w:val="24"/>
          <w:szCs w:val="24"/>
        </w:rPr>
        <w:t>Nell’ambito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quadro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informativo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economico-patrimoniale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delle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università,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Decreto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Legislativo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27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gennaio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2012, n. </w:t>
      </w:r>
      <w:proofErr w:type="gramStart"/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18 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(</w:t>
      </w:r>
      <w:proofErr w:type="gramEnd"/>
      <w:r w:rsidRPr="007D7814">
        <w:rPr>
          <w:rFonts w:asciiTheme="minorHAnsi" w:hAnsiTheme="minorHAnsi" w:cstheme="minorHAnsi"/>
          <w:sz w:val="24"/>
          <w:szCs w:val="24"/>
        </w:rPr>
        <w:t xml:space="preserve">Introduzione di un sistema di </w:t>
      </w:r>
      <w:r w:rsidR="00A058A7" w:rsidRPr="007D7814">
        <w:rPr>
          <w:rFonts w:asciiTheme="minorHAnsi" w:hAnsiTheme="minorHAnsi" w:cstheme="minorHAnsi"/>
          <w:sz w:val="24"/>
          <w:szCs w:val="24"/>
        </w:rPr>
        <w:t>contabilità</w:t>
      </w:r>
      <w:r w:rsidRPr="007D7814">
        <w:rPr>
          <w:rFonts w:asciiTheme="minorHAnsi" w:hAnsiTheme="minorHAnsi" w:cstheme="minorHAnsi"/>
          <w:sz w:val="24"/>
          <w:szCs w:val="24"/>
        </w:rPr>
        <w:t xml:space="preserve"> economico-patrimoniale e analitica, del bilancio unico e del bilanci</w:t>
      </w:r>
      <w:r w:rsidR="00A058A7" w:rsidRPr="007D7814">
        <w:rPr>
          <w:rFonts w:asciiTheme="minorHAnsi" w:hAnsiTheme="minorHAnsi" w:cstheme="minorHAnsi"/>
          <w:sz w:val="24"/>
          <w:szCs w:val="24"/>
        </w:rPr>
        <w:t>o consolidato nelle Università</w:t>
      </w:r>
      <w:r w:rsidRPr="007D7814">
        <w:rPr>
          <w:rFonts w:asciiTheme="minorHAnsi" w:hAnsiTheme="minorHAnsi" w:cstheme="minorHAnsi"/>
          <w:sz w:val="24"/>
          <w:szCs w:val="24"/>
        </w:rPr>
        <w:t xml:space="preserve"> a norma dell'articolo 5, comma 1, lettera b), e 4, lettera a), della legge 30 dicembre 201</w:t>
      </w:r>
      <w:r w:rsidR="00D0271B">
        <w:rPr>
          <w:rFonts w:asciiTheme="minorHAnsi" w:hAnsiTheme="minorHAnsi" w:cstheme="minorHAnsi"/>
          <w:sz w:val="24"/>
          <w:szCs w:val="24"/>
        </w:rPr>
        <w:t>0, n. 240.)  all’art. 1 comma 3)</w:t>
      </w:r>
      <w:r w:rsidRPr="007D7814">
        <w:rPr>
          <w:rFonts w:asciiTheme="minorHAnsi" w:hAnsiTheme="minorHAnsi" w:cstheme="minorHAnsi"/>
          <w:sz w:val="24"/>
          <w:szCs w:val="24"/>
        </w:rPr>
        <w:t xml:space="preserve"> Prevede: “Al fine di consentire il consolidamento e il monitoraggio dei conti delle amministrazioni pubbliche, le </w:t>
      </w:r>
      <w:r w:rsidR="00A058A7" w:rsidRPr="007D7814">
        <w:rPr>
          <w:rFonts w:asciiTheme="minorHAnsi" w:hAnsiTheme="minorHAnsi" w:cstheme="minorHAnsi"/>
          <w:sz w:val="24"/>
          <w:szCs w:val="24"/>
        </w:rPr>
        <w:t>università</w:t>
      </w:r>
      <w:r w:rsidRPr="007D7814">
        <w:rPr>
          <w:rFonts w:asciiTheme="minorHAnsi" w:hAnsiTheme="minorHAnsi" w:cstheme="minorHAnsi"/>
          <w:sz w:val="24"/>
          <w:szCs w:val="24"/>
        </w:rPr>
        <w:t xml:space="preserve"> considerate amministrazioni pubbliche ai sensi dell'art. 1, comma 2, della legge 31 dicembre 2009, n. 196, predispongono il bilancio preventivo unico d'ateneo non </w:t>
      </w:r>
      <w:proofErr w:type="spellStart"/>
      <w:r w:rsidRPr="007D7814">
        <w:rPr>
          <w:rFonts w:asciiTheme="minorHAnsi" w:hAnsiTheme="minorHAnsi" w:cstheme="minorHAnsi"/>
          <w:sz w:val="24"/>
          <w:szCs w:val="24"/>
        </w:rPr>
        <w:t>autorizzatorio</w:t>
      </w:r>
      <w:proofErr w:type="spellEnd"/>
      <w:r w:rsidRPr="007D7814">
        <w:rPr>
          <w:rFonts w:asciiTheme="minorHAnsi" w:hAnsiTheme="minorHAnsi" w:cstheme="minorHAnsi"/>
          <w:sz w:val="24"/>
          <w:szCs w:val="24"/>
        </w:rPr>
        <w:t xml:space="preserve"> e il rendiconto unico d'ateneo in </w:t>
      </w:r>
      <w:r w:rsidR="00A058A7" w:rsidRPr="007D7814">
        <w:rPr>
          <w:rFonts w:asciiTheme="minorHAnsi" w:hAnsiTheme="minorHAnsi" w:cstheme="minorHAnsi"/>
          <w:sz w:val="24"/>
          <w:szCs w:val="24"/>
        </w:rPr>
        <w:t>contabilità</w:t>
      </w:r>
      <w:r w:rsidRPr="007D7814">
        <w:rPr>
          <w:rFonts w:asciiTheme="minorHAnsi" w:hAnsiTheme="minorHAnsi" w:cstheme="minorHAnsi"/>
          <w:sz w:val="24"/>
          <w:szCs w:val="24"/>
        </w:rPr>
        <w:t xml:space="preserve"> finanziaria.</w:t>
      </w:r>
      <w:r w:rsidRPr="007D7814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</w:p>
    <w:p w:rsidR="00C5010F" w:rsidRPr="007D7814" w:rsidRDefault="009759CA" w:rsidP="00D0271B">
      <w:pPr>
        <w:pStyle w:val="Corpotesto"/>
        <w:spacing w:line="360" w:lineRule="auto"/>
        <w:ind w:left="153" w:right="708"/>
        <w:jc w:val="both"/>
        <w:rPr>
          <w:rFonts w:asciiTheme="minorHAnsi" w:hAnsiTheme="minorHAnsi" w:cstheme="minorHAnsi"/>
          <w:sz w:val="24"/>
          <w:szCs w:val="24"/>
        </w:rPr>
      </w:pPr>
      <w:r w:rsidRPr="007D7814">
        <w:rPr>
          <w:rFonts w:asciiTheme="minorHAnsi" w:hAnsiTheme="minorHAnsi" w:cstheme="minorHAnsi"/>
          <w:sz w:val="24"/>
          <w:szCs w:val="24"/>
        </w:rPr>
        <w:t>Successivamente, il Decreto Interministeriale 14 gennaio 2014, n. 19 (Principi contabili e schemi di bilancio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in contabilità economico-patrimoniale per le università) ha disciplinato i criteri per la predisposizione del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prospetto in argomento, definendone gli schemi e le modalità di redazione, a loro volta dettagliate nel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Manuale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Tecnico</w:t>
      </w:r>
      <w:r w:rsidRPr="007D781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adottato dal MUR nella sua versione definitiva con Decreto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Direttoriale n.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1841 del 26 luglio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2017.</w:t>
      </w:r>
    </w:p>
    <w:p w:rsidR="00C5010F" w:rsidRPr="007D7814" w:rsidRDefault="009759CA">
      <w:pPr>
        <w:pStyle w:val="Corpotesto"/>
        <w:spacing w:before="5" w:line="360" w:lineRule="auto"/>
        <w:ind w:left="152" w:right="711"/>
        <w:jc w:val="both"/>
        <w:rPr>
          <w:rFonts w:asciiTheme="minorHAnsi" w:hAnsiTheme="minorHAnsi" w:cstheme="minorHAnsi"/>
          <w:sz w:val="24"/>
          <w:szCs w:val="24"/>
        </w:rPr>
      </w:pPr>
      <w:r w:rsidRPr="007D7814">
        <w:rPr>
          <w:rFonts w:asciiTheme="minorHAnsi" w:hAnsiTheme="minorHAnsi" w:cstheme="minorHAnsi"/>
          <w:sz w:val="24"/>
          <w:szCs w:val="24"/>
        </w:rPr>
        <w:t>Il presente Rendiconto unico di Ateneo in contabilità finanziaria è redatto in termini di cassa, in conformità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ai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criteri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previsti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all’articolo</w:t>
      </w:r>
      <w:r w:rsidRPr="007D781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7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D.I.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n.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19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14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gennaio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2014,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come</w:t>
      </w:r>
      <w:r w:rsidRPr="007D781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modificato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dal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D.I.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n.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394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dell’8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giugno</w:t>
      </w:r>
      <w:r w:rsidRPr="007D7814">
        <w:rPr>
          <w:rFonts w:asciiTheme="minorHAnsi" w:hAnsiTheme="minorHAnsi" w:cstheme="minorHAnsi"/>
          <w:spacing w:val="-47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2017. Esso riporta gli incassi e i pagamenti effettuati nell’esercizio 2022, riclassificati secondo le codifiche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SIOPE previste dal Decreto MEF del 5 settembre 2017, che ha aggiornato i codici gestionali specifici per il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sistema universitario, adeguandoli alla struttura del piano dei conti finanziario, di cui al D.P.R. n. 132 del 4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ottobre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2013.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Il</w:t>
      </w:r>
      <w:r w:rsidRPr="007D781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prospetto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contiene,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inoltre,</w:t>
      </w:r>
      <w:r w:rsidRPr="007D781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la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riclassificazione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delle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spese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per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missioni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e</w:t>
      </w:r>
      <w:r w:rsidRPr="007D781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programmi,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secondo</w:t>
      </w:r>
      <w:r w:rsidRPr="007D7814">
        <w:rPr>
          <w:rFonts w:asciiTheme="minorHAnsi" w:hAnsiTheme="minorHAnsi" w:cstheme="minorHAnsi"/>
          <w:spacing w:val="-48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quanto disposto dall’articolo 7, comma 3 del D.I. n. 19/2014. Tale riclassificazione si intende sostitutiva di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quella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prevista all’art. 2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</w:t>
      </w:r>
      <w:r w:rsidRPr="007D7814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D.I.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n.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21/2014.</w:t>
      </w:r>
    </w:p>
    <w:p w:rsidR="00C5010F" w:rsidRPr="007D7814" w:rsidRDefault="009759CA" w:rsidP="00D0271B">
      <w:pPr>
        <w:pStyle w:val="Corpotesto"/>
        <w:spacing w:before="3" w:line="360" w:lineRule="auto"/>
        <w:ind w:left="152" w:right="709"/>
        <w:jc w:val="both"/>
        <w:rPr>
          <w:rFonts w:asciiTheme="minorHAnsi" w:hAnsiTheme="minorHAnsi" w:cstheme="minorHAnsi"/>
          <w:sz w:val="24"/>
          <w:szCs w:val="24"/>
        </w:rPr>
        <w:sectPr w:rsidR="00C5010F" w:rsidRPr="007D7814">
          <w:headerReference w:type="default" r:id="rId8"/>
          <w:footerReference w:type="default" r:id="rId9"/>
          <w:pgSz w:w="11910" w:h="16840"/>
          <w:pgMar w:top="1440" w:right="420" w:bottom="1260" w:left="980" w:header="384" w:footer="1080" w:gutter="0"/>
          <w:pgNumType w:start="1"/>
          <w:cols w:space="720"/>
        </w:sectPr>
      </w:pPr>
      <w:r w:rsidRPr="007D7814">
        <w:rPr>
          <w:rFonts w:asciiTheme="minorHAnsi" w:hAnsiTheme="minorHAnsi" w:cstheme="minorHAnsi"/>
          <w:sz w:val="24"/>
          <w:szCs w:val="24"/>
        </w:rPr>
        <w:t>Pertanto,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presente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Rendiconto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unico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di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Ateneo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in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contabilità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finanziaria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assolve,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contestualmente,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 xml:space="preserve">all’obbligo di redazione del rendiconto unico in contabilità finanziaria di cui all’articolo 3 del D. </w:t>
      </w:r>
      <w:proofErr w:type="spellStart"/>
      <w:r w:rsidRPr="007D7814">
        <w:rPr>
          <w:rFonts w:asciiTheme="minorHAnsi" w:hAnsiTheme="minorHAnsi" w:cstheme="minorHAnsi"/>
          <w:sz w:val="24"/>
          <w:szCs w:val="24"/>
        </w:rPr>
        <w:t>Lgs</w:t>
      </w:r>
      <w:proofErr w:type="spellEnd"/>
      <w:r w:rsidRPr="007D7814">
        <w:rPr>
          <w:rFonts w:asciiTheme="minorHAnsi" w:hAnsiTheme="minorHAnsi" w:cstheme="minorHAnsi"/>
          <w:sz w:val="24"/>
          <w:szCs w:val="24"/>
        </w:rPr>
        <w:t>. n. 18 del</w:t>
      </w:r>
      <w:r w:rsidRPr="007D7814">
        <w:rPr>
          <w:rFonts w:asciiTheme="minorHAnsi" w:hAnsiTheme="minorHAnsi" w:cstheme="minorHAnsi"/>
          <w:spacing w:val="-47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27 gennaio 2012, secondo le modalità di cui all’articolo 7, comma 3 del D.I. n. 19/2014 e alla classificazione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 xml:space="preserve">della spesa per missioni e programmi, ai sensi dell'articolo 2, comma 2, </w:t>
      </w:r>
      <w:proofErr w:type="spellStart"/>
      <w:r w:rsidRPr="007D7814">
        <w:rPr>
          <w:rFonts w:asciiTheme="minorHAnsi" w:hAnsiTheme="minorHAnsi" w:cstheme="minorHAnsi"/>
          <w:sz w:val="24"/>
          <w:szCs w:val="24"/>
        </w:rPr>
        <w:t>lett</w:t>
      </w:r>
      <w:proofErr w:type="spellEnd"/>
      <w:r w:rsidRPr="007D7814">
        <w:rPr>
          <w:rFonts w:asciiTheme="minorHAnsi" w:hAnsiTheme="minorHAnsi" w:cstheme="minorHAnsi"/>
          <w:sz w:val="24"/>
          <w:szCs w:val="24"/>
        </w:rPr>
        <w:t>. c) della Legge n. 196 del 31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dicembre</w:t>
      </w:r>
      <w:r w:rsidRPr="007D781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2009.</w:t>
      </w:r>
      <w:r w:rsidR="00A058A7" w:rsidRPr="007D7814">
        <w:rPr>
          <w:rFonts w:asciiTheme="minorHAnsi" w:hAnsiTheme="minorHAnsi" w:cstheme="minorHAnsi"/>
          <w:sz w:val="24"/>
          <w:szCs w:val="24"/>
        </w:rPr>
        <w:t xml:space="preserve"> </w:t>
      </w:r>
      <w:r w:rsidR="00D0271B">
        <w:rPr>
          <w:rFonts w:asciiTheme="minorHAnsi" w:hAnsiTheme="minorHAnsi" w:cstheme="minorHAnsi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Per l’imputazione delle spese alle missioni e ai programmi previsti per il sistema universitario, si è fatto,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comunque, riferimento ai criteri generali e specifici individuati dal D.I. n. 21/2014 e dal Manuale Tecnico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 xml:space="preserve">Operativo, nella sua versione aggiornata emanata con Decreto Direttoriale n. 1055 del 30 maggio 2019. </w:t>
      </w:r>
    </w:p>
    <w:p w:rsidR="00C5010F" w:rsidRPr="007D7814" w:rsidRDefault="009759CA">
      <w:pPr>
        <w:pStyle w:val="Corpotesto"/>
        <w:spacing w:before="56" w:line="360" w:lineRule="auto"/>
        <w:ind w:left="152" w:right="712"/>
        <w:jc w:val="both"/>
        <w:rPr>
          <w:rFonts w:asciiTheme="minorHAnsi" w:hAnsiTheme="minorHAnsi" w:cstheme="minorHAnsi"/>
          <w:sz w:val="24"/>
          <w:szCs w:val="24"/>
        </w:rPr>
      </w:pPr>
      <w:r w:rsidRPr="007D7814">
        <w:rPr>
          <w:rFonts w:asciiTheme="minorHAnsi" w:hAnsiTheme="minorHAnsi" w:cstheme="minorHAnsi"/>
          <w:sz w:val="24"/>
          <w:szCs w:val="24"/>
        </w:rPr>
        <w:lastRenderedPageBreak/>
        <w:t>Il Rendiconto unico di Ateneo in contabilità finanziaria dell’esercizio 202</w:t>
      </w:r>
      <w:r w:rsidR="00A058A7" w:rsidRPr="007D7814">
        <w:rPr>
          <w:rFonts w:asciiTheme="minorHAnsi" w:hAnsiTheme="minorHAnsi" w:cstheme="minorHAnsi"/>
          <w:sz w:val="24"/>
          <w:szCs w:val="24"/>
        </w:rPr>
        <w:t>2</w:t>
      </w:r>
      <w:r w:rsidRPr="007D7814">
        <w:rPr>
          <w:rFonts w:asciiTheme="minorHAnsi" w:hAnsiTheme="minorHAnsi" w:cstheme="minorHAnsi"/>
          <w:sz w:val="24"/>
          <w:szCs w:val="24"/>
        </w:rPr>
        <w:t xml:space="preserve"> evidenzia un flusso monetario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A058A7" w:rsidRPr="007D7814">
        <w:rPr>
          <w:rFonts w:asciiTheme="minorHAnsi" w:hAnsiTheme="minorHAnsi" w:cstheme="minorHAnsi"/>
          <w:sz w:val="24"/>
          <w:szCs w:val="24"/>
        </w:rPr>
        <w:t xml:space="preserve">positivo </w:t>
      </w:r>
      <w:proofErr w:type="gramStart"/>
      <w:r w:rsidR="00A058A7" w:rsidRPr="007D7814">
        <w:rPr>
          <w:rFonts w:asciiTheme="minorHAnsi" w:hAnsiTheme="minorHAnsi" w:cstheme="minorHAnsi"/>
          <w:sz w:val="24"/>
          <w:szCs w:val="24"/>
        </w:rPr>
        <w:t xml:space="preserve">di 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4043C2">
        <w:rPr>
          <w:rFonts w:asciiTheme="minorHAnsi" w:hAnsiTheme="minorHAnsi" w:cstheme="minorHAnsi"/>
          <w:b/>
          <w:sz w:val="24"/>
          <w:szCs w:val="24"/>
        </w:rPr>
        <w:t>Euro</w:t>
      </w:r>
      <w:proofErr w:type="gramEnd"/>
      <w:r w:rsidR="004043C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058A7" w:rsidRPr="007D7814">
        <w:rPr>
          <w:rFonts w:asciiTheme="minorHAnsi" w:hAnsiTheme="minorHAnsi" w:cstheme="minorHAnsi"/>
          <w:b/>
          <w:sz w:val="24"/>
          <w:szCs w:val="24"/>
        </w:rPr>
        <w:t>7.956.178</w:t>
      </w:r>
      <w:r w:rsidRPr="007D7814">
        <w:rPr>
          <w:rFonts w:asciiTheme="minorHAnsi" w:hAnsiTheme="minorHAnsi" w:cstheme="minorHAnsi"/>
          <w:sz w:val="24"/>
          <w:szCs w:val="24"/>
        </w:rPr>
        <w:t xml:space="preserve">, </w:t>
      </w:r>
      <w:r w:rsidR="00A058A7" w:rsidRPr="007D7814">
        <w:rPr>
          <w:rFonts w:asciiTheme="minorHAnsi" w:hAnsiTheme="minorHAnsi" w:cstheme="minorHAnsi"/>
          <w:sz w:val="24"/>
          <w:szCs w:val="24"/>
        </w:rPr>
        <w:t>mentre il</w:t>
      </w:r>
      <w:r w:rsidRPr="007D7814">
        <w:rPr>
          <w:rFonts w:asciiTheme="minorHAnsi" w:hAnsiTheme="minorHAnsi" w:cstheme="minorHAnsi"/>
          <w:sz w:val="24"/>
          <w:szCs w:val="24"/>
        </w:rPr>
        <w:t xml:space="preserve"> Rendiconto Finanziario (analisi del Cash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Flow)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 Bilancio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Unico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di</w:t>
      </w:r>
      <w:r w:rsidRPr="007D7814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Ateneo</w:t>
      </w:r>
      <w:r w:rsidR="00A058A7" w:rsidRPr="007D7814">
        <w:rPr>
          <w:rFonts w:asciiTheme="minorHAnsi" w:hAnsiTheme="minorHAnsi" w:cstheme="minorHAnsi"/>
          <w:sz w:val="24"/>
          <w:szCs w:val="24"/>
        </w:rPr>
        <w:t xml:space="preserve"> presenta una differenza positiva di euro </w:t>
      </w:r>
      <w:r w:rsidR="00A058A7" w:rsidRPr="007D7814">
        <w:rPr>
          <w:rFonts w:asciiTheme="minorHAnsi" w:hAnsiTheme="minorHAnsi" w:cstheme="minorHAnsi"/>
          <w:b/>
          <w:sz w:val="24"/>
          <w:szCs w:val="24"/>
        </w:rPr>
        <w:t>7.947.001</w:t>
      </w:r>
      <w:r w:rsidR="00780526">
        <w:rPr>
          <w:rFonts w:asciiTheme="minorHAnsi" w:hAnsiTheme="minorHAnsi" w:cstheme="minorHAnsi"/>
          <w:b/>
          <w:sz w:val="24"/>
          <w:szCs w:val="24"/>
        </w:rPr>
        <w:t>.</w:t>
      </w:r>
    </w:p>
    <w:tbl>
      <w:tblPr>
        <w:tblW w:w="0" w:type="auto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3256"/>
        <w:gridCol w:w="3612"/>
        <w:gridCol w:w="1302"/>
      </w:tblGrid>
      <w:tr w:rsidR="00780526" w:rsidRPr="00780526" w:rsidTr="00780526">
        <w:trPr>
          <w:trHeight w:val="288"/>
        </w:trPr>
        <w:tc>
          <w:tcPr>
            <w:tcW w:w="4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780526">
              <w:rPr>
                <w:rFonts w:eastAsia="Times New Roman"/>
                <w:b/>
                <w:bCs/>
                <w:color w:val="000000"/>
                <w:lang w:eastAsia="it-IT"/>
              </w:rPr>
              <w:t xml:space="preserve">Rendiconto finanziario </w:t>
            </w:r>
          </w:p>
        </w:tc>
        <w:tc>
          <w:tcPr>
            <w:tcW w:w="4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780526">
              <w:rPr>
                <w:rFonts w:eastAsia="Times New Roman"/>
                <w:b/>
                <w:bCs/>
                <w:color w:val="000000"/>
                <w:lang w:eastAsia="it-IT"/>
              </w:rPr>
              <w:t xml:space="preserve">Cash flow </w:t>
            </w:r>
          </w:p>
        </w:tc>
      </w:tr>
      <w:tr w:rsidR="00780526" w:rsidRPr="00780526" w:rsidTr="00780526">
        <w:trPr>
          <w:trHeight w:val="276"/>
        </w:trPr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ind w:right="-404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 xml:space="preserve">Totale </w:t>
            </w:r>
            <w:r w:rsidRPr="00780526">
              <w:rPr>
                <w:rFonts w:eastAsia="Times New Roman"/>
                <w:color w:val="000000"/>
                <w:lang w:eastAsia="it-IT"/>
              </w:rPr>
              <w:t>entrate</w:t>
            </w:r>
          </w:p>
        </w:tc>
        <w:tc>
          <w:tcPr>
            <w:tcW w:w="32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eastAsia="it-IT"/>
              </w:rPr>
            </w:pPr>
            <w:r w:rsidRPr="00780526">
              <w:rPr>
                <w:rFonts w:eastAsia="Times New Roman"/>
                <w:color w:val="000000"/>
                <w:lang w:eastAsia="it-IT"/>
              </w:rPr>
              <w:t>€ 146.745.516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rPr>
                <w:rFonts w:eastAsia="Times New Roman"/>
                <w:color w:val="000000"/>
                <w:lang w:eastAsia="it-IT"/>
              </w:rPr>
            </w:pPr>
            <w:r w:rsidRPr="00780526">
              <w:rPr>
                <w:rFonts w:eastAsia="Times New Roman"/>
                <w:color w:val="000000"/>
                <w:lang w:eastAsia="it-IT"/>
              </w:rPr>
              <w:t>Disponibilità al 31/12/2022</w:t>
            </w:r>
          </w:p>
        </w:tc>
        <w:tc>
          <w:tcPr>
            <w:tcW w:w="130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ind w:left="-185"/>
              <w:jc w:val="right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 xml:space="preserve">€ </w:t>
            </w:r>
            <w:r w:rsidRPr="00780526">
              <w:rPr>
                <w:rFonts w:eastAsia="Times New Roman"/>
                <w:color w:val="000000"/>
                <w:lang w:eastAsia="it-IT"/>
              </w:rPr>
              <w:t>81.338.717</w:t>
            </w:r>
          </w:p>
        </w:tc>
      </w:tr>
      <w:tr w:rsidR="00780526" w:rsidRPr="00780526" w:rsidTr="00780526">
        <w:trPr>
          <w:trHeight w:val="276"/>
        </w:trPr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rPr>
                <w:rFonts w:eastAsia="Times New Roman"/>
                <w:color w:val="000000"/>
                <w:lang w:eastAsia="it-IT"/>
              </w:rPr>
            </w:pPr>
            <w:r w:rsidRPr="00780526">
              <w:rPr>
                <w:rFonts w:eastAsia="Times New Roman"/>
                <w:color w:val="000000"/>
                <w:lang w:eastAsia="it-IT"/>
              </w:rPr>
              <w:t>Totale spese</w:t>
            </w:r>
          </w:p>
        </w:tc>
        <w:tc>
          <w:tcPr>
            <w:tcW w:w="32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u w:val="single"/>
                <w:lang w:eastAsia="it-IT"/>
              </w:rPr>
            </w:pPr>
            <w:r w:rsidRPr="00780526">
              <w:rPr>
                <w:rFonts w:eastAsia="Times New Roman"/>
                <w:color w:val="000000"/>
                <w:u w:val="single"/>
                <w:lang w:eastAsia="it-IT"/>
              </w:rPr>
              <w:t>€ 138.789.338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D</w:t>
            </w:r>
            <w:r w:rsidRPr="00780526">
              <w:rPr>
                <w:rFonts w:eastAsia="Times New Roman"/>
                <w:color w:val="000000"/>
                <w:lang w:eastAsia="it-IT"/>
              </w:rPr>
              <w:t>isponibilità al 31/12/2021</w:t>
            </w:r>
          </w:p>
        </w:tc>
        <w:tc>
          <w:tcPr>
            <w:tcW w:w="130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ind w:left="-185"/>
              <w:jc w:val="right"/>
              <w:rPr>
                <w:rFonts w:eastAsia="Times New Roman"/>
                <w:color w:val="000000"/>
                <w:u w:val="single"/>
                <w:lang w:eastAsia="it-IT"/>
              </w:rPr>
            </w:pPr>
            <w:r w:rsidRPr="00780526">
              <w:rPr>
                <w:rFonts w:eastAsia="Times New Roman"/>
                <w:color w:val="000000"/>
                <w:u w:val="single"/>
                <w:lang w:eastAsia="it-IT"/>
              </w:rPr>
              <w:t>€ 73.391.716</w:t>
            </w:r>
          </w:p>
        </w:tc>
      </w:tr>
      <w:tr w:rsidR="00780526" w:rsidRPr="00780526" w:rsidTr="00780526">
        <w:trPr>
          <w:trHeight w:val="291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80526" w:rsidRPr="00780526" w:rsidRDefault="00780526" w:rsidP="00780526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25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780526">
              <w:rPr>
                <w:rFonts w:eastAsia="Times New Roman"/>
                <w:b/>
                <w:bCs/>
                <w:color w:val="000000"/>
                <w:lang w:eastAsia="it-IT"/>
              </w:rPr>
              <w:t>€ 7.956.178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80526" w:rsidRPr="00780526" w:rsidRDefault="00780526" w:rsidP="00780526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0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780526">
              <w:rPr>
                <w:rFonts w:eastAsia="Times New Roman"/>
                <w:b/>
                <w:bCs/>
                <w:color w:val="000000"/>
                <w:lang w:eastAsia="it-IT"/>
              </w:rPr>
              <w:t>€ 7.947.001</w:t>
            </w:r>
          </w:p>
        </w:tc>
      </w:tr>
      <w:tr w:rsidR="00780526" w:rsidRPr="00780526" w:rsidTr="00780526">
        <w:trPr>
          <w:trHeight w:val="288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8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lang w:eastAsia="it-IT"/>
              </w:rPr>
            </w:pPr>
            <w:r w:rsidRPr="00780526">
              <w:rPr>
                <w:rFonts w:ascii="Arial" w:eastAsia="Times New Roman" w:hAnsi="Arial" w:cs="Arial"/>
                <w:b/>
                <w:lang w:eastAsia="it-IT"/>
              </w:rPr>
              <w:t>€ 9.177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:rsidR="00780526" w:rsidRDefault="00780526">
      <w:pPr>
        <w:pStyle w:val="Corpotesto"/>
        <w:spacing w:before="56" w:line="360" w:lineRule="auto"/>
        <w:ind w:left="152" w:right="712"/>
        <w:jc w:val="both"/>
        <w:rPr>
          <w:rFonts w:asciiTheme="minorHAnsi" w:hAnsiTheme="minorHAnsi" w:cstheme="minorHAnsi"/>
          <w:sz w:val="24"/>
          <w:szCs w:val="24"/>
        </w:rPr>
      </w:pPr>
    </w:p>
    <w:p w:rsidR="00A058A7" w:rsidRDefault="00780526">
      <w:pPr>
        <w:pStyle w:val="Corpotesto"/>
        <w:spacing w:before="56" w:line="360" w:lineRule="auto"/>
        <w:ind w:left="152" w:right="712"/>
        <w:jc w:val="both"/>
        <w:rPr>
          <w:rFonts w:asciiTheme="minorHAnsi" w:hAnsiTheme="minorHAnsi" w:cstheme="minorHAnsi"/>
          <w:sz w:val="24"/>
          <w:szCs w:val="24"/>
        </w:rPr>
      </w:pPr>
      <w:r w:rsidRPr="00780526">
        <w:rPr>
          <w:rFonts w:asciiTheme="minorHAnsi" w:hAnsiTheme="minorHAnsi" w:cstheme="minorHAnsi"/>
          <w:sz w:val="24"/>
          <w:szCs w:val="24"/>
        </w:rPr>
        <w:t>La divergenza tra le risultanze del Rendiconto unico in contabilità finanziaria e il cash flow è dovuta alle restituzioni nel 2022 dei saldi dei fondi economali e delle carte prepagate e alle movimentazioni del c/c postale</w:t>
      </w:r>
      <w:r w:rsidR="00D92A24">
        <w:rPr>
          <w:rFonts w:asciiTheme="minorHAnsi" w:hAnsiTheme="minorHAnsi" w:cstheme="minorHAnsi"/>
          <w:sz w:val="24"/>
          <w:szCs w:val="24"/>
        </w:rPr>
        <w:t>.</w:t>
      </w:r>
      <w:bookmarkStart w:id="0" w:name="_GoBack"/>
      <w:bookmarkEnd w:id="0"/>
    </w:p>
    <w:p w:rsidR="00C5010F" w:rsidRPr="007D7814" w:rsidRDefault="009759CA">
      <w:pPr>
        <w:pStyle w:val="Corpotesto"/>
        <w:spacing w:before="56" w:line="360" w:lineRule="auto"/>
        <w:ind w:left="152" w:right="708"/>
        <w:jc w:val="both"/>
        <w:rPr>
          <w:rFonts w:asciiTheme="minorHAnsi" w:hAnsiTheme="minorHAnsi" w:cstheme="minorHAnsi"/>
          <w:sz w:val="24"/>
          <w:szCs w:val="24"/>
        </w:rPr>
      </w:pPr>
      <w:r w:rsidRPr="007D7814">
        <w:rPr>
          <w:rFonts w:asciiTheme="minorHAnsi" w:hAnsiTheme="minorHAnsi" w:cstheme="minorHAnsi"/>
          <w:sz w:val="24"/>
          <w:szCs w:val="24"/>
        </w:rPr>
        <w:t>Di seguito si riportano i prospetti SIOPE analitici delle entrate e delle spese, con l’indicazione, per le sole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spese,</w:t>
      </w:r>
      <w:r w:rsidRPr="007D781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della</w:t>
      </w:r>
      <w:r w:rsidRPr="007D781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ripartizione</w:t>
      </w:r>
      <w:r w:rsidRPr="007D7814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per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missioni</w:t>
      </w:r>
      <w:r w:rsidRPr="007D781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e</w:t>
      </w:r>
      <w:r w:rsidRPr="007D781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972E7E">
        <w:rPr>
          <w:rFonts w:asciiTheme="minorHAnsi" w:hAnsiTheme="minorHAnsi" w:cstheme="minorHAnsi"/>
          <w:sz w:val="24"/>
          <w:szCs w:val="24"/>
        </w:rPr>
        <w:t>programmi.</w:t>
      </w:r>
    </w:p>
    <w:p w:rsidR="00C5010F" w:rsidRPr="007D7814" w:rsidRDefault="00C5010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  <w:sectPr w:rsidR="00C5010F" w:rsidRPr="007D7814">
          <w:pgSz w:w="11910" w:h="16840"/>
          <w:pgMar w:top="1520" w:right="420" w:bottom="1260" w:left="980" w:header="384" w:footer="1080" w:gutter="0"/>
          <w:cols w:space="720"/>
        </w:sectPr>
      </w:pPr>
    </w:p>
    <w:p w:rsidR="00C5010F" w:rsidRDefault="00C5010F">
      <w:pPr>
        <w:pStyle w:val="Corpotesto"/>
        <w:rPr>
          <w:sz w:val="20"/>
        </w:rPr>
      </w:pPr>
    </w:p>
    <w:p w:rsidR="00C5010F" w:rsidRDefault="00C5010F">
      <w:pPr>
        <w:pStyle w:val="Corpotesto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7281"/>
        <w:gridCol w:w="1364"/>
      </w:tblGrid>
      <w:tr w:rsidR="00972E7E" w:rsidRPr="00844D81" w:rsidTr="00972E7E">
        <w:trPr>
          <w:trHeight w:val="312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44D81">
              <w:rPr>
                <w:rFonts w:eastAsia="Times New Roman" w:cstheme="minorHAnsi"/>
                <w:b/>
                <w:bCs/>
                <w:lang w:eastAsia="it-IT"/>
              </w:rPr>
              <w:t>ENTRATE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972E7E" w:rsidRPr="00844D81" w:rsidRDefault="00972E7E" w:rsidP="00FC7FE6">
            <w:pPr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44D81">
              <w:rPr>
                <w:rFonts w:eastAsia="Times New Roman" w:cstheme="minorHAnsi"/>
                <w:b/>
                <w:bCs/>
                <w:lang w:eastAsia="it-IT"/>
              </w:rPr>
              <w:t>Livello</w:t>
            </w:r>
          </w:p>
        </w:tc>
        <w:tc>
          <w:tcPr>
            <w:tcW w:w="7281" w:type="dxa"/>
            <w:shd w:val="clear" w:color="auto" w:fill="auto"/>
            <w:vAlign w:val="center"/>
            <w:hideMark/>
          </w:tcPr>
          <w:p w:rsidR="00972E7E" w:rsidRPr="00844D81" w:rsidRDefault="00972E7E" w:rsidP="00FC7FE6">
            <w:pPr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44D81">
              <w:rPr>
                <w:rFonts w:eastAsia="Times New Roman" w:cstheme="minorHAnsi"/>
                <w:b/>
                <w:bCs/>
                <w:lang w:eastAsia="it-IT"/>
              </w:rPr>
              <w:t>DESCRIZIONE CODICE ECONOMICO</w:t>
            </w:r>
          </w:p>
        </w:tc>
        <w:tc>
          <w:tcPr>
            <w:tcW w:w="1364" w:type="dxa"/>
            <w:shd w:val="clear" w:color="auto" w:fill="auto"/>
            <w:noWrap/>
            <w:vAlign w:val="center"/>
            <w:hideMark/>
          </w:tcPr>
          <w:p w:rsidR="00972E7E" w:rsidRPr="00844D81" w:rsidRDefault="00972E7E" w:rsidP="00FC7FE6">
            <w:pPr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44D81">
              <w:rPr>
                <w:rFonts w:eastAsia="Times New Roman" w:cstheme="minorHAnsi"/>
                <w:b/>
                <w:bCs/>
                <w:lang w:eastAsia="it-IT"/>
              </w:rPr>
              <w:t>Totale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Entrate correnti di natura tributaria, contributiva e perequativa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Tributi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Imposte, tasse e proventi assimilati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71.533.559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71.533.559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 Amministrazioni pubbliche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69.730.107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 Amministrazioni Centrali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60.735.504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 Amministrazioni Locali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8.994.603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 Enti di Previdenza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 famiglie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1.612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 famiglie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1.612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 Imprese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121.681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Sponsorizzazioni da imprese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correnti da imprese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121.681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 Istituzioni Sociali Private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210.424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 Istituzioni Sociali Private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210.424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dall'Unione Europea e dal Resto del Mondo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1.469.735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dall'Unione Europea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1.469.735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dal Resto del Mondo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 xml:space="preserve">Entrate </w:t>
            </w:r>
            <w:proofErr w:type="spellStart"/>
            <w:r w:rsidRPr="00844D81">
              <w:rPr>
                <w:rFonts w:eastAsia="Times New Roman" w:cstheme="minorHAnsi"/>
                <w:lang w:eastAsia="it-IT"/>
              </w:rPr>
              <w:t>extratributarie</w:t>
            </w:r>
            <w:proofErr w:type="spellEnd"/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18.064.180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Vendita di beni e servizi e proventi derivanti dalla gestione dei beni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16.825.674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Vendita di beni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Entrate dalla vendita e dall'erogazione di servizi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16.825.674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Proventi derivanti dalla gestione dei beni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Proventi derivanti dall'attività di controllo e repressione delle irregolarità e degli illeciti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96.299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Interessi attivi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Interessi attivi da titoli o finanziamenti a breve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Interessi attivi da titoli o finanziamenti a medio -lungo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interessi attivi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Rimborsi e altre entrate correnti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1.142.204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Indennizzi di assicurazione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Rimborsi in entrata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202.998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 xml:space="preserve">Altre entrate correnti </w:t>
            </w:r>
            <w:proofErr w:type="spellStart"/>
            <w:r w:rsidRPr="00844D81">
              <w:rPr>
                <w:rFonts w:eastAsia="Times New Roman" w:cstheme="minorHAnsi"/>
                <w:lang w:eastAsia="it-IT"/>
              </w:rPr>
              <w:t>n.a.c</w:t>
            </w:r>
            <w:proofErr w:type="spellEnd"/>
            <w:r w:rsidRPr="00844D81">
              <w:rPr>
                <w:rFonts w:eastAsia="Times New Roman" w:cstheme="minorHAnsi"/>
                <w:lang w:eastAsia="it-IT"/>
              </w:rPr>
              <w:t>.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939.207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Entrate in conto capitale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17.145.841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17.078.910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amministrazioni pubbliche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13.241.640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Amministrazioni Centrali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11.234.848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Amministrazioni Locali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1.775.254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Enti di Previdenza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Università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231.539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Famiglie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300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Famiglie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300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lastRenderedPageBreak/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Imprese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557.386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imprese controllate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altre imprese partecipate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altre Imprese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557.386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Istituzioni Sociali Private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 Istituzioni Sociali Private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dall'Unione Europea e dal Resto del Mondo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3.450.533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dal Resto del Mondo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contributi agli investimenti dall'Unione Europea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3.450.533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direttamente destinati al rimborso di prestiti da amministrazioni pubbliche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direttamente destinati al rimborso di prestiti da Amministrazioni Centrali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direttamente destinati al rimborso di prestiti da Amministrazioni Locali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in conto capitale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in conto capitale da amministrazioni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in conto capitale da Regioni e province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in conto capitale da Università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in conto capitale da Famiglie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in conto capitale da famiglie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in conto capitale da Istituzioni Sociali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in conto capitale da Istituzioni sociali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in conto capitale dall'Unione Europea e dal resto del mondo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000000" w:fill="FFFFFF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in conto capitale dall'Unione Europea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Entrate da alienazione di beni materiali e immateriali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Alienazione di beni materiali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Cessione di Terreni e di beni materiali non prodotti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Alienazione di beni immateriali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Entrate da riduzione di attività finanziarie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Alienazione di attività finanziarie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Alienazione di partecipazioni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Alienazione di titoli obbligazionari a breve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Alienazione di titoli obbligazionari a medio-lungo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Riscossione crediti di medio-lungo termine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Riscossione crediti sorti a seguito di escussione di garanzie in favore di Amministrazioni Pubbliche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Riscossione crediti sorti a seguito di escussione di garanzie in favore di Famiglie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Riscossione crediti sorti a seguito di escussione di garanzie in favore di Imprese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Riscossione crediti sorti a seguito di escussione di garanzie in favore di Istituzioni Sociali Private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Riscossione crediti sorti a seguito di escussione di garanzie in favore dell'Unione Europea e del Resto del Mondo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Accensione Prestiti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lastRenderedPageBreak/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Accensione prestiti a breve termine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Finanziamenti a breve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Accensione mutui e altri finanziamenti a medio lungo termine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Finanziamenti a medio lungo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Accensione Prestiti - Leasing finanziario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Anticipazioni da istituto tesoriere/cassiere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Anticipazioni da istituto tesoriere/cassiere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Anticipazioni da istituto tesoriere/cassiere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Entrate per conto terzi e partite di giro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40.001.936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Entrate per partite di giro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37.933.974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Altre ritenute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Ritenute su redditi da lavoro dipendente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30.953.185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Ritenute su redditi da lavoro autonomo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221.828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Altre entrate per partite di giro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6.758.961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Entrate per conto terzi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2.067.963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Rimborsi per acquisto di beni e servizi per conto terzi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da Amministrazioni pubbliche per operazioni conto terzi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da altri soggetti per operazioni conto terzi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Depositi di/presso terzi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1.250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Riscossione imposte e tributi per conto terzi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1.797.760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E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Altre entrate per conto terzi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115.955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8274" w:type="dxa"/>
            <w:gridSpan w:val="3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b/>
                <w:bCs/>
                <w:lang w:eastAsia="it-IT"/>
              </w:rPr>
            </w:pPr>
            <w:r w:rsidRPr="00844D81">
              <w:rPr>
                <w:rFonts w:eastAsia="Times New Roman" w:cstheme="minorHAnsi"/>
                <w:b/>
                <w:bCs/>
                <w:lang w:eastAsia="it-IT"/>
              </w:rPr>
              <w:t>TOTALE GENERALE ENTRATE</w:t>
            </w: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b/>
                <w:bCs/>
                <w:lang w:eastAsia="it-IT"/>
              </w:rPr>
            </w:pPr>
            <w:r w:rsidRPr="00844D81">
              <w:rPr>
                <w:rFonts w:eastAsia="Times New Roman" w:cstheme="minorHAnsi"/>
                <w:b/>
                <w:bCs/>
                <w:lang w:eastAsia="it-IT"/>
              </w:rPr>
              <w:t>146.745.516</w:t>
            </w:r>
          </w:p>
        </w:tc>
      </w:tr>
      <w:tr w:rsidR="00972E7E" w:rsidRPr="00844D81" w:rsidTr="00972E7E">
        <w:trPr>
          <w:trHeight w:val="276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</w:p>
        </w:tc>
      </w:tr>
      <w:tr w:rsidR="00972E7E" w:rsidRPr="00844D81" w:rsidTr="00972E7E">
        <w:trPr>
          <w:trHeight w:val="276"/>
          <w:jc w:val="center"/>
        </w:trPr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7281" w:type="dxa"/>
            <w:shd w:val="clear" w:color="000000" w:fill="FFFFFF"/>
            <w:vAlign w:val="bottom"/>
            <w:hideMark/>
          </w:tcPr>
          <w:p w:rsidR="00972E7E" w:rsidRPr="00844D81" w:rsidRDefault="00972E7E" w:rsidP="00FC7FE6">
            <w:pPr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44D81">
              <w:rPr>
                <w:rFonts w:eastAsia="Times New Roman" w:cstheme="minorHAnsi"/>
                <w:b/>
                <w:bCs/>
                <w:lang w:eastAsia="it-IT"/>
              </w:rPr>
              <w:t>USCITE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76"/>
          <w:jc w:val="center"/>
        </w:trPr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7281" w:type="dxa"/>
            <w:shd w:val="clear" w:color="000000" w:fill="FFFFFF"/>
            <w:vAlign w:val="bottom"/>
            <w:hideMark/>
          </w:tcPr>
          <w:p w:rsidR="00972E7E" w:rsidRPr="00844D81" w:rsidRDefault="00972E7E" w:rsidP="00FC7FE6">
            <w:pPr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44D81">
              <w:rPr>
                <w:rFonts w:eastAsia="Times New Roman" w:cstheme="minorHAnsi"/>
                <w:b/>
                <w:bCs/>
                <w:lang w:eastAsia="it-IT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Spese correnti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91.639.862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Redditi da lavoro dipendente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53.059.406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Retribuzioni lorde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41.371.302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sociali a carico dell'ente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11.688.105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Imposte e tasse a carico dell'ente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3.974.650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Imposte, tasse e proventi assimilati a carico dell'ente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3.974.650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Acquisto di beni e servizi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12.648.827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Acquisto di beni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1.357.848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Acquisto di servizi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11.290.979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20.989.467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 Amministrazioni Pubbliche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285.513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 Amministrazioni Centrali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3.263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 Amministrazioni Locali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282.250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 Enti di Previdenza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 Famiglie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19.275.510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Borse di studio, dottorati di ricerca e contratti di formazione specialistica area medica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a famiglie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373.646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 Imprese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1.398.827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 imprese controllate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 altre imprese partecipate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 altre imprese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1.398.827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lastRenderedPageBreak/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 Istituzioni Sociali Private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29.617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 Istituzioni Sociali Private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29.617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versati all'Unione Europea e al Resto del Mondo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correnti al Resto del Mondo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Trasferimenti correnti alla UE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Interessi passivi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132.202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Interessi su finanziamenti a breve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Interessi su Mutui e altri finanziamenti a medio lungo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132.202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interessi passivi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Altre spese per redditi da capitale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Diritti reali di godimento e servitù onerose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 xml:space="preserve">Altre spese per redditi da capitale </w:t>
            </w:r>
            <w:proofErr w:type="spellStart"/>
            <w:r w:rsidRPr="00844D81">
              <w:rPr>
                <w:rFonts w:eastAsia="Times New Roman" w:cstheme="minorHAnsi"/>
                <w:lang w:eastAsia="it-IT"/>
              </w:rPr>
              <w:t>n.a.c</w:t>
            </w:r>
            <w:proofErr w:type="spellEnd"/>
            <w:r w:rsidRPr="00844D81">
              <w:rPr>
                <w:rFonts w:eastAsia="Times New Roman" w:cstheme="minorHAnsi"/>
                <w:lang w:eastAsia="it-IT"/>
              </w:rPr>
              <w:t>.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Rimborsi e poste correttive delle entrate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505.417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 xml:space="preserve">Rimborsi per spese di personale (comando, distacco, fuori ruolo, convenzioni, </w:t>
            </w:r>
            <w:proofErr w:type="spellStart"/>
            <w:r w:rsidRPr="00844D81">
              <w:rPr>
                <w:rFonts w:eastAsia="Times New Roman" w:cstheme="minorHAnsi"/>
                <w:lang w:eastAsia="it-IT"/>
              </w:rPr>
              <w:t>ecc</w:t>
            </w:r>
            <w:proofErr w:type="spellEnd"/>
            <w:r w:rsidRPr="00844D81">
              <w:rPr>
                <w:rFonts w:eastAsia="Times New Roman" w:cstheme="minorHAnsi"/>
                <w:lang w:eastAsia="it-IT"/>
              </w:rPr>
              <w:t>…)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34.895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Rimborsi di trasferimenti all'Unione Europea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Altri Rimborsi di parte corrente di somme non dovute o incassate in eccesso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470.522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Altre spese correnti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329.894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Versamenti IVA a debito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63.040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Premi di assicurazione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133.754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Spese dovute a sanzioni, risarcimenti e indennizzi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44.076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 xml:space="preserve">Altre spese correnti </w:t>
            </w:r>
            <w:proofErr w:type="spellStart"/>
            <w:r w:rsidRPr="00844D81">
              <w:rPr>
                <w:rFonts w:eastAsia="Times New Roman" w:cstheme="minorHAnsi"/>
                <w:lang w:eastAsia="it-IT"/>
              </w:rPr>
              <w:t>n.a.c</w:t>
            </w:r>
            <w:proofErr w:type="spellEnd"/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89.024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Spese in conto capitale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2.646.721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Investimenti fissi lordi e acquisto di terreni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2.483.863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Beni materiali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1.622.159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Terreni e beni materiali non prodotti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Beni immateriali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861.704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Beni materiali acquisiti mediante operazioni di leasing finanziario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139.969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Amministrazioni pubbliche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137.969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Amministrazioni Centrali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18.860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Amministrazioni Locali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119.108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Enti di Previdenza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Famiglie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Famiglie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Imprese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imprese controllate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altre imprese partecipate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altre Imprese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Istituzioni Sociali Private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2.000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 Istituzioni Sociali Private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2.000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all'Unione Europea e al Resto del Mondo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all'Unione Europea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IV</w:t>
            </w:r>
          </w:p>
        </w:tc>
        <w:tc>
          <w:tcPr>
            <w:tcW w:w="7281" w:type="dxa"/>
            <w:shd w:val="clear" w:color="auto" w:fill="auto"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Contributi agli investimenti al Resto del Mondo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Spese per incremento attività finanziarie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Acquisizioni di attività finanziarie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lastRenderedPageBreak/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Acquisizioni di partecipazioni e conferimenti di capitale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Acquisizione di titoli obbligazionari a breve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Acquisizione di titoli obbligazionari a medio-lungo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Concessione crediti di medio-lungo termine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576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Concessione crediti a Amministrazioni Pubbliche a seguito di escussione di garanzie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Concessione crediti a Famiglie a seguito di escussione di garanzie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Concessione crediti a Imprese a seguito di escussione di garanzie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Concessione crediti a Istituzioni Sociali Private a seguito di escussione di garanzie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Concessione crediti a Unione Europea e del Resto del Mondo a seguito di escussione di garanzie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Altre spese per incremento di attività finanziarie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Versamenti a depositi bancari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Rimborso Prestiti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361.535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Rimborso prestiti a breve termine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Rimborso finanziamenti a breve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Rimborso mutui e altri finanziamenti a medio lungo termine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361.535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Rimborso Mutui e altri finanziamenti a medio lungo termine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361.535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Rimborso Prestiti - Leasing finanziario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Chiusura Anticipazioni ricevute da istituto tesoriere/cassiere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Chiusura Anticipazioni ricevute da istituto tesoriere/cassiere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Chiusura Anticipazioni ricevute da istituto tesoriere/cassiere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9BC2E6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</w:t>
            </w:r>
          </w:p>
        </w:tc>
        <w:tc>
          <w:tcPr>
            <w:tcW w:w="7281" w:type="dxa"/>
            <w:shd w:val="clear" w:color="000000" w:fill="9BC2E6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Uscite per conto terzi e partite di giro (conti transitori)</w:t>
            </w:r>
          </w:p>
        </w:tc>
        <w:tc>
          <w:tcPr>
            <w:tcW w:w="1364" w:type="dxa"/>
            <w:shd w:val="clear" w:color="000000" w:fill="9BC2E6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44.141.220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Uscite per partite di giro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41.721.625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Versamenti di altre ritenute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Versamenti di ritenute su Redditi da lavoro dipendente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30.550.940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Versamenti di ritenute su Redditi da lavoro autonomo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209.802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Altre uscite per partite di giro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10.960.884</w:t>
            </w:r>
          </w:p>
        </w:tc>
      </w:tr>
      <w:tr w:rsidR="00972E7E" w:rsidRPr="00844D81" w:rsidTr="00972E7E">
        <w:trPr>
          <w:trHeight w:val="288"/>
          <w:jc w:val="center"/>
        </w:trPr>
        <w:tc>
          <w:tcPr>
            <w:tcW w:w="426" w:type="dxa"/>
            <w:shd w:val="clear" w:color="000000" w:fill="BDD7EE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</w:t>
            </w:r>
          </w:p>
        </w:tc>
        <w:tc>
          <w:tcPr>
            <w:tcW w:w="7281" w:type="dxa"/>
            <w:shd w:val="clear" w:color="000000" w:fill="BDD7EE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Uscite per conto terzi</w:t>
            </w:r>
          </w:p>
        </w:tc>
        <w:tc>
          <w:tcPr>
            <w:tcW w:w="1364" w:type="dxa"/>
            <w:shd w:val="clear" w:color="000000" w:fill="BDD7EE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2.419.595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Acquisto di beni e servizi per conto terzi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per conto terzi a Amministrazioni pubbliche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370.022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Trasferimenti per conto terzi a Altri settori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401.060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Depositi di/presso terzi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1.250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Versamenti di imposte e tributi riscosse per conto terzi</w:t>
            </w:r>
          </w:p>
        </w:tc>
        <w:tc>
          <w:tcPr>
            <w:tcW w:w="1364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1.647.263</w:t>
            </w:r>
          </w:p>
        </w:tc>
      </w:tr>
      <w:tr w:rsidR="00972E7E" w:rsidRPr="00844D81" w:rsidTr="00972E7E">
        <w:trPr>
          <w:trHeight w:val="285"/>
          <w:jc w:val="center"/>
        </w:trPr>
        <w:tc>
          <w:tcPr>
            <w:tcW w:w="426" w:type="dxa"/>
            <w:shd w:val="clear" w:color="000000" w:fill="D9E1F2"/>
            <w:noWrap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U</w:t>
            </w:r>
          </w:p>
        </w:tc>
        <w:tc>
          <w:tcPr>
            <w:tcW w:w="567" w:type="dxa"/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III</w:t>
            </w:r>
          </w:p>
        </w:tc>
        <w:tc>
          <w:tcPr>
            <w:tcW w:w="7281" w:type="dxa"/>
            <w:shd w:val="clear" w:color="000000" w:fill="D9E1F2"/>
            <w:vAlign w:val="center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Altre uscite per conto terzi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lang w:eastAsia="it-IT"/>
              </w:rPr>
            </w:pPr>
            <w:r w:rsidRPr="00844D81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972E7E" w:rsidRPr="00844D81" w:rsidTr="00972E7E">
        <w:trPr>
          <w:trHeight w:val="261"/>
          <w:jc w:val="center"/>
        </w:trPr>
        <w:tc>
          <w:tcPr>
            <w:tcW w:w="8274" w:type="dxa"/>
            <w:gridSpan w:val="3"/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rPr>
                <w:rFonts w:eastAsia="Times New Roman" w:cstheme="minorHAnsi"/>
                <w:b/>
                <w:bCs/>
                <w:lang w:eastAsia="it-IT"/>
              </w:rPr>
            </w:pPr>
            <w:r w:rsidRPr="00844D81">
              <w:rPr>
                <w:rFonts w:eastAsia="Times New Roman" w:cstheme="minorHAnsi"/>
                <w:b/>
                <w:bCs/>
                <w:lang w:eastAsia="it-IT"/>
              </w:rPr>
              <w:t>TOTALE GENERALE USCITE </w:t>
            </w: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72E7E" w:rsidRPr="00844D81" w:rsidRDefault="00972E7E" w:rsidP="00FC7FE6">
            <w:pPr>
              <w:jc w:val="right"/>
              <w:rPr>
                <w:rFonts w:eastAsia="Times New Roman" w:cstheme="minorHAnsi"/>
                <w:b/>
                <w:bCs/>
                <w:lang w:eastAsia="it-IT"/>
              </w:rPr>
            </w:pPr>
            <w:r w:rsidRPr="00844D81">
              <w:rPr>
                <w:rFonts w:eastAsia="Times New Roman" w:cstheme="minorHAnsi"/>
                <w:b/>
                <w:bCs/>
                <w:lang w:eastAsia="it-IT"/>
              </w:rPr>
              <w:t>138.789.338</w:t>
            </w:r>
          </w:p>
        </w:tc>
      </w:tr>
    </w:tbl>
    <w:p w:rsidR="008E786F" w:rsidRDefault="008E786F">
      <w:pPr>
        <w:spacing w:line="264" w:lineRule="exact"/>
      </w:pPr>
    </w:p>
    <w:p w:rsidR="008E786F" w:rsidRDefault="008E786F">
      <w:r>
        <w:br w:type="page"/>
      </w:r>
    </w:p>
    <w:p w:rsidR="00C5010F" w:rsidRDefault="00C5010F">
      <w:pPr>
        <w:spacing w:line="264" w:lineRule="exact"/>
        <w:sectPr w:rsidR="00C5010F">
          <w:headerReference w:type="default" r:id="rId10"/>
          <w:footerReference w:type="default" r:id="rId11"/>
          <w:pgSz w:w="11910" w:h="16840"/>
          <w:pgMar w:top="1520" w:right="420" w:bottom="1260" w:left="980" w:header="392" w:footer="1080" w:gutter="0"/>
          <w:cols w:space="720"/>
        </w:sectPr>
      </w:pPr>
    </w:p>
    <w:p w:rsidR="00C5010F" w:rsidRDefault="00C5010F">
      <w:pPr>
        <w:pStyle w:val="Corpotesto"/>
        <w:rPr>
          <w:sz w:val="20"/>
        </w:rPr>
      </w:pPr>
    </w:p>
    <w:p w:rsidR="00C84A3C" w:rsidRDefault="00C84A3C">
      <w:pPr>
        <w:pStyle w:val="Corpotesto"/>
        <w:rPr>
          <w:sz w:val="20"/>
        </w:rPr>
      </w:pPr>
    </w:p>
    <w:p w:rsidR="00C5010F" w:rsidRDefault="00C5010F">
      <w:pPr>
        <w:pStyle w:val="Corpotesto"/>
        <w:rPr>
          <w:sz w:val="20"/>
        </w:rPr>
      </w:pPr>
    </w:p>
    <w:tbl>
      <w:tblPr>
        <w:tblW w:w="483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"/>
        <w:gridCol w:w="401"/>
        <w:gridCol w:w="5023"/>
        <w:gridCol w:w="1184"/>
        <w:gridCol w:w="1001"/>
        <w:gridCol w:w="998"/>
        <w:gridCol w:w="905"/>
        <w:gridCol w:w="1103"/>
        <w:gridCol w:w="998"/>
        <w:gridCol w:w="1204"/>
        <w:gridCol w:w="1399"/>
      </w:tblGrid>
      <w:tr w:rsidR="00C84A3C" w:rsidRPr="00C84A3C" w:rsidTr="00C84A3C">
        <w:trPr>
          <w:trHeight w:val="828"/>
          <w:jc w:val="center"/>
        </w:trPr>
        <w:tc>
          <w:tcPr>
            <w:tcW w:w="238" w:type="pct"/>
            <w:gridSpan w:val="2"/>
            <w:vMerge w:val="restart"/>
            <w:shd w:val="clear" w:color="auto" w:fill="auto"/>
            <w:noWrap/>
            <w:textDirection w:val="tbLrV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USCITE</w:t>
            </w:r>
          </w:p>
        </w:tc>
        <w:tc>
          <w:tcPr>
            <w:tcW w:w="2139" w:type="pct"/>
            <w:gridSpan w:val="2"/>
            <w:shd w:val="clear" w:color="auto" w:fill="auto"/>
            <w:noWrap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MISSIONI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Ricerca e Innovazione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Istruzione universitaria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Tutela della salute</w:t>
            </w:r>
          </w:p>
        </w:tc>
        <w:tc>
          <w:tcPr>
            <w:tcW w:w="897" w:type="pct"/>
            <w:gridSpan w:val="2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Servizi istituzionali e generali delle amministrazioni pubbliche</w:t>
            </w:r>
          </w:p>
        </w:tc>
      </w:tr>
      <w:tr w:rsidR="00C84A3C" w:rsidRPr="00C84A3C" w:rsidTr="00C84A3C">
        <w:trPr>
          <w:trHeight w:val="1440"/>
          <w:jc w:val="center"/>
        </w:trPr>
        <w:tc>
          <w:tcPr>
            <w:tcW w:w="238" w:type="pct"/>
            <w:gridSpan w:val="2"/>
            <w:vMerge/>
            <w:vAlign w:val="center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139" w:type="pct"/>
            <w:gridSpan w:val="2"/>
            <w:shd w:val="clear" w:color="auto" w:fill="auto"/>
            <w:noWrap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PROGRAMMI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Ricerca scientifica e tecnologica di base</w:t>
            </w:r>
          </w:p>
        </w:tc>
        <w:tc>
          <w:tcPr>
            <w:tcW w:w="656" w:type="pct"/>
            <w:gridSpan w:val="2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Ricerca scientifica e tecnologica applicata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Sistema universitario e formazione post universitaria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Assistenza in materia sanitaria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Indirizzo politico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Servizi e affari generali per le amministrazioni</w:t>
            </w:r>
          </w:p>
        </w:tc>
      </w:tr>
      <w:tr w:rsidR="00C84A3C" w:rsidRPr="00C84A3C" w:rsidTr="00C84A3C">
        <w:trPr>
          <w:trHeight w:val="450"/>
          <w:jc w:val="center"/>
        </w:trPr>
        <w:tc>
          <w:tcPr>
            <w:tcW w:w="238" w:type="pct"/>
            <w:gridSpan w:val="2"/>
            <w:vMerge/>
            <w:vAlign w:val="center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139" w:type="pct"/>
            <w:gridSpan w:val="2"/>
            <w:shd w:val="clear" w:color="auto" w:fill="auto"/>
            <w:noWrap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 xml:space="preserve"> Definizione COFOG (II livello) </w:t>
            </w:r>
          </w:p>
        </w:tc>
        <w:tc>
          <w:tcPr>
            <w:tcW w:w="345" w:type="pct"/>
            <w:vMerge w:val="restar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01.4 Ricerca di base</w:t>
            </w:r>
          </w:p>
        </w:tc>
        <w:tc>
          <w:tcPr>
            <w:tcW w:w="344" w:type="pct"/>
            <w:vMerge w:val="restar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04.8 R&amp;S per gli affari economici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07.5 R&amp;S per la sanità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09.4 Istruzione superiore</w:t>
            </w:r>
          </w:p>
        </w:tc>
        <w:tc>
          <w:tcPr>
            <w:tcW w:w="344" w:type="pct"/>
            <w:vMerge w:val="restar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07.3 Servizi ospedalieri</w:t>
            </w:r>
          </w:p>
        </w:tc>
        <w:tc>
          <w:tcPr>
            <w:tcW w:w="415" w:type="pct"/>
            <w:vMerge w:val="restar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09.8 Istruzione non altrove classificato</w:t>
            </w:r>
          </w:p>
        </w:tc>
        <w:tc>
          <w:tcPr>
            <w:tcW w:w="482" w:type="pct"/>
            <w:vMerge w:val="restar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09.8 Istruzione non altrove classificato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238" w:type="pct"/>
            <w:gridSpan w:val="2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Livello</w:t>
            </w:r>
          </w:p>
        </w:tc>
        <w:tc>
          <w:tcPr>
            <w:tcW w:w="1731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DESCRIZIONE CODICE ECONOMICO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345" w:type="pct"/>
            <w:vMerge/>
            <w:vAlign w:val="center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44" w:type="pct"/>
            <w:vMerge/>
            <w:vAlign w:val="center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80" w:type="pct"/>
            <w:vMerge/>
            <w:vAlign w:val="center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44" w:type="pct"/>
            <w:vMerge/>
            <w:vAlign w:val="center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15" w:type="pct"/>
            <w:vMerge/>
            <w:vAlign w:val="center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31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:rsidR="00C84A3C" w:rsidRPr="00C84A3C" w:rsidRDefault="00C84A3C" w:rsidP="00FC7FE6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I</w:t>
            </w:r>
          </w:p>
        </w:tc>
        <w:tc>
          <w:tcPr>
            <w:tcW w:w="173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Spese correnti</w:t>
            </w:r>
          </w:p>
        </w:tc>
        <w:tc>
          <w:tcPr>
            <w:tcW w:w="40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91.639.862</w:t>
            </w:r>
          </w:p>
        </w:tc>
        <w:tc>
          <w:tcPr>
            <w:tcW w:w="34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29.052.398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1.013.008</w:t>
            </w:r>
          </w:p>
        </w:tc>
        <w:tc>
          <w:tcPr>
            <w:tcW w:w="31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1.034.021</w:t>
            </w:r>
          </w:p>
        </w:tc>
        <w:tc>
          <w:tcPr>
            <w:tcW w:w="380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37.506.578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5.399.618</w:t>
            </w:r>
          </w:p>
        </w:tc>
        <w:tc>
          <w:tcPr>
            <w:tcW w:w="41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360.156</w:t>
            </w:r>
          </w:p>
        </w:tc>
        <w:tc>
          <w:tcPr>
            <w:tcW w:w="48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17.274.083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Redditi da lavoro dipendente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53.059.406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24.411.075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228.618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383.840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17.910.976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5.399.618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4.725.279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Retribuzioni lorde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41.371.302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18.922.207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190.253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312.161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13.804.607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4.430.579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3.711.494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sociali a carico dell'ente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11.688.105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5.488.868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38.365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71.679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4.106.369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969.039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1.013.785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Imposte e tasse a carico dell'ente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3.974.650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13.003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958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2.229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35.470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3.922.990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Imposte, tasse e proventi assimilati a carico dell'ente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3.974.650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13.003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958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2.229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35.470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3.922.990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Acquisto di beni e servizi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12.648.827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1.623.788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295.094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530.130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1.906.050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360.156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7.933.609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Acquisto di beni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1.357.848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407.693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97.724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294.483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201.349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356.598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Acquisto di servizi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11.290.979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1.216.095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197.370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235.646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1.704.701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360.156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7.577.011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20.989.467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3.004.532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488.338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117.822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17.378.153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623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 Amministrazioni Pubbliche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285.513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285.513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 Amministrazioni Centrali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3.263</w:t>
            </w:r>
          </w:p>
        </w:tc>
        <w:tc>
          <w:tcPr>
            <w:tcW w:w="34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3.263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 Amministrazioni Locali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282.250</w:t>
            </w:r>
          </w:p>
        </w:tc>
        <w:tc>
          <w:tcPr>
            <w:tcW w:w="34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282.250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 Enti di Previdenza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 Famiglie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19.275.510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3.004.532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488.338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117.822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15.664.195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623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Borse di studio, dottorati di ricerca e contratti di formazione specialistica area medica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Altri trasferimenti a famiglie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373.646</w:t>
            </w:r>
          </w:p>
        </w:tc>
        <w:tc>
          <w:tcPr>
            <w:tcW w:w="34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123.628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17.187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232.208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623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 Imprese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1.398.827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1.398.827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 imprese controllate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lastRenderedPageBreak/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 altre imprese partecipate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 altre imprese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1.398.827</w:t>
            </w:r>
          </w:p>
        </w:tc>
        <w:tc>
          <w:tcPr>
            <w:tcW w:w="34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1.398.827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 Istituzioni Sociali Private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29.617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29.617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 Istituzioni Sociali Private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29.617</w:t>
            </w:r>
          </w:p>
        </w:tc>
        <w:tc>
          <w:tcPr>
            <w:tcW w:w="34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29.617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versati all'Unione Europea e al Resto del Mondo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correnti al Resto del Mondo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Altri Trasferimenti correnti alla UE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Interessi passivi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132.202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132.202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Interessi su finanziamenti a breve termine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Interessi su Mutui e altri finanziamenti a medio lungo termine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132.202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132.202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Altri interessi passivi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Altre spese per redditi da capitale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Diritti reali di godimento e servitù onerose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 xml:space="preserve">Altre spese per redditi da capitale </w:t>
            </w:r>
            <w:proofErr w:type="spellStart"/>
            <w:r w:rsidRPr="00C84A3C">
              <w:rPr>
                <w:rFonts w:eastAsia="Times New Roman"/>
                <w:sz w:val="18"/>
                <w:szCs w:val="18"/>
                <w:lang w:eastAsia="it-IT"/>
              </w:rPr>
              <w:t>n.a.c</w:t>
            </w:r>
            <w:proofErr w:type="spellEnd"/>
            <w:r w:rsidRPr="00C84A3C">
              <w:rPr>
                <w:rFonts w:eastAsia="Times New Roman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Rimborsi e poste correttive delle entrate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505.417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275.929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229.487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 xml:space="preserve">Rimborsi per spese di personale (comando, distacco, fuori ruolo, convenzioni, </w:t>
            </w:r>
            <w:proofErr w:type="spellStart"/>
            <w:r w:rsidRPr="00C84A3C">
              <w:rPr>
                <w:rFonts w:eastAsia="Times New Roman"/>
                <w:sz w:val="18"/>
                <w:szCs w:val="18"/>
                <w:lang w:eastAsia="it-IT"/>
              </w:rPr>
              <w:t>ecc</w:t>
            </w:r>
            <w:proofErr w:type="spellEnd"/>
            <w:r w:rsidRPr="00C84A3C">
              <w:rPr>
                <w:rFonts w:eastAsia="Times New Roman"/>
                <w:sz w:val="18"/>
                <w:szCs w:val="18"/>
                <w:lang w:eastAsia="it-IT"/>
              </w:rPr>
              <w:t>…)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34.895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20.683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Rimborsi di trasferimenti all'Unione Europea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Altri Rimborsi di parte corrente di somme non dovute o incassate in eccesso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470.522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275.929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194.593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Altre spese correnti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329.894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329.894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Versamenti IVA a debito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63.040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63.040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Premi di assicurazione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133.754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133.754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Spese dovute a sanzioni, risarcimenti e indennizzi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44.076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44.076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 xml:space="preserve">Altre spese correnti </w:t>
            </w:r>
            <w:proofErr w:type="spellStart"/>
            <w:r w:rsidRPr="00C84A3C">
              <w:rPr>
                <w:rFonts w:eastAsia="Times New Roman"/>
                <w:sz w:val="18"/>
                <w:szCs w:val="18"/>
                <w:lang w:eastAsia="it-IT"/>
              </w:rPr>
              <w:t>n.a.c</w:t>
            </w:r>
            <w:proofErr w:type="spellEnd"/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89.024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89.024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I</w:t>
            </w:r>
          </w:p>
        </w:tc>
        <w:tc>
          <w:tcPr>
            <w:tcW w:w="173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Spese in conto capitale</w:t>
            </w:r>
          </w:p>
        </w:tc>
        <w:tc>
          <w:tcPr>
            <w:tcW w:w="40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2.646.721</w:t>
            </w:r>
          </w:p>
        </w:tc>
        <w:tc>
          <w:tcPr>
            <w:tcW w:w="34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417.611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144.638</w:t>
            </w:r>
          </w:p>
        </w:tc>
        <w:tc>
          <w:tcPr>
            <w:tcW w:w="31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233.169</w:t>
            </w:r>
          </w:p>
        </w:tc>
        <w:tc>
          <w:tcPr>
            <w:tcW w:w="380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454.821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1.396.482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Investimenti fissi lordi e acquisto di terreni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2.483.863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396.750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20.811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214.999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454.821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1.396.482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Beni materiali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1.622.159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381.676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20.108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201.749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320.130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698.495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Terreni e beni materiali non prodotti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Beni immateriali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861.704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15.074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703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13.250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134.690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697.987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Beni materiali acquisiti mediante operazioni di leasing finanziario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139.969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20.860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119.108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Amministrazioni pubbliche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137.969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18.860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119.108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Amministrazioni Centrali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18.860</w:t>
            </w:r>
          </w:p>
        </w:tc>
        <w:tc>
          <w:tcPr>
            <w:tcW w:w="34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18.860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lastRenderedPageBreak/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Amministrazioni Locali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119.108</w:t>
            </w:r>
          </w:p>
        </w:tc>
        <w:tc>
          <w:tcPr>
            <w:tcW w:w="34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119.108</w:t>
            </w:r>
          </w:p>
        </w:tc>
        <w:tc>
          <w:tcPr>
            <w:tcW w:w="31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FFFFFF"/>
            <w:vAlign w:val="center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Enti di Previdenza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Famiglie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Famiglie</w:t>
            </w:r>
          </w:p>
        </w:tc>
        <w:tc>
          <w:tcPr>
            <w:tcW w:w="408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FFFFFF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Imprese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imprese controllate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altre imprese partecipate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altre Imprese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53.404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Istituzioni Sociali Private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2.000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2.000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 Istituzioni Sociali Private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2.000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2.000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all'Unione Europea e al Resto del Mondo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all'Unione Europea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IV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Contributi agli investimenti al Resto del Mondo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I</w:t>
            </w:r>
          </w:p>
        </w:tc>
        <w:tc>
          <w:tcPr>
            <w:tcW w:w="173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Spese per incremento attività finanziarie</w:t>
            </w:r>
          </w:p>
        </w:tc>
        <w:tc>
          <w:tcPr>
            <w:tcW w:w="40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Acquisizioni di attività finanziarie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Acquisizioni di partecipazioni e conferimenti di capitale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Acquisizione di titoli obbligazionari a breve termine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Acquisizione di titoli obbligazionari a medio-lungo termine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Concessione crediti di medio-lungo termine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Concessione crediti a Amministrazioni Pubbliche a seguito di escussione di garanzie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Concessione crediti a Famiglie a seguito di escussione di garanzie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Concessione crediti a Imprese a seguito di escussione di garanzie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Concessione crediti a Istituzioni Sociali Private a seguito di escussione di garanzie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Concessione crediti a Unione Europea e del Resto del Mondo a seguito di escussione di garanzie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Altre spese per incremento di attività finanziarie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Versamenti a depositi bancari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I</w:t>
            </w:r>
          </w:p>
        </w:tc>
        <w:tc>
          <w:tcPr>
            <w:tcW w:w="173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Rimborso Prestiti</w:t>
            </w:r>
          </w:p>
        </w:tc>
        <w:tc>
          <w:tcPr>
            <w:tcW w:w="40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361.535</w:t>
            </w:r>
          </w:p>
        </w:tc>
        <w:tc>
          <w:tcPr>
            <w:tcW w:w="34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361.535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Rimborso prestiti a breve termine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Rimborso finanziamenti a breve termine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Rimborso mutui e altri finanziamenti a medio lungo termine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361.535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361.535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Rimborso Mutui e altri finanziamenti a medio lungo termine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361.535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361.535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Rimborso Prestiti - Leasing finanziario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lastRenderedPageBreak/>
              <w:t>U</w:t>
            </w:r>
          </w:p>
        </w:tc>
        <w:tc>
          <w:tcPr>
            <w:tcW w:w="13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I</w:t>
            </w:r>
          </w:p>
        </w:tc>
        <w:tc>
          <w:tcPr>
            <w:tcW w:w="173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Chiusura Anticipazioni ricevute da istituto tesoriere/cassiere</w:t>
            </w:r>
          </w:p>
        </w:tc>
        <w:tc>
          <w:tcPr>
            <w:tcW w:w="40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Chiusura Anticipazioni ricevute da istituto tesoriere/cassiere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Chiusura Anticipazioni ricevute da istituto tesoriere/cassiere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I</w:t>
            </w:r>
          </w:p>
        </w:tc>
        <w:tc>
          <w:tcPr>
            <w:tcW w:w="1731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Uscite per conto terzi e partite di giro (conti transitori)</w:t>
            </w:r>
          </w:p>
        </w:tc>
        <w:tc>
          <w:tcPr>
            <w:tcW w:w="408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44.141.220</w:t>
            </w:r>
          </w:p>
        </w:tc>
        <w:tc>
          <w:tcPr>
            <w:tcW w:w="34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38.248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500.644</w:t>
            </w:r>
          </w:p>
        </w:tc>
        <w:tc>
          <w:tcPr>
            <w:tcW w:w="31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275.990</w:t>
            </w:r>
          </w:p>
        </w:tc>
        <w:tc>
          <w:tcPr>
            <w:tcW w:w="380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89.493</w:t>
            </w:r>
          </w:p>
        </w:tc>
        <w:tc>
          <w:tcPr>
            <w:tcW w:w="344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8EA9DB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43.236.845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Uscite per partite di giro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41.721.625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38.248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3.881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1.670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89.493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41.588.332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Versamenti di altre ritenute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84A3C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Versamenti di ritenute su Redditi da lavoro dipendente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30.550.940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8.856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791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767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30.540.525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Versamenti di ritenute su Redditi da lavoro autonomo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209.802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209.802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Altre uscite per partite di giro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10.960.884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29.392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3.090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903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89.493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10.838.005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</w:t>
            </w:r>
          </w:p>
        </w:tc>
        <w:tc>
          <w:tcPr>
            <w:tcW w:w="1731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Uscite per conto terzi</w:t>
            </w:r>
          </w:p>
        </w:tc>
        <w:tc>
          <w:tcPr>
            <w:tcW w:w="408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2.419.595</w:t>
            </w:r>
          </w:p>
        </w:tc>
        <w:tc>
          <w:tcPr>
            <w:tcW w:w="34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496.763</w:t>
            </w:r>
          </w:p>
        </w:tc>
        <w:tc>
          <w:tcPr>
            <w:tcW w:w="31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274.320</w:t>
            </w:r>
          </w:p>
        </w:tc>
        <w:tc>
          <w:tcPr>
            <w:tcW w:w="380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B4C6E7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1.648.513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Acquisto di beni e servizi per conto terzi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per conto terzi a Amministrazioni pubbliche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370.022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232.320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137.702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Trasferimenti per conto terzi a Altri settori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401.060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264.442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136.618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Depositi di/presso terzi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1.250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1.250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Versamenti di imposte e tributi riscosse per conto terzi</w:t>
            </w:r>
          </w:p>
        </w:tc>
        <w:tc>
          <w:tcPr>
            <w:tcW w:w="408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1.647.263</w:t>
            </w:r>
          </w:p>
        </w:tc>
        <w:tc>
          <w:tcPr>
            <w:tcW w:w="34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1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80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4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15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82" w:type="pct"/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1.647.263</w:t>
            </w:r>
          </w:p>
        </w:tc>
      </w:tr>
      <w:tr w:rsidR="00C84A3C" w:rsidRPr="00C84A3C" w:rsidTr="00C84A3C">
        <w:trPr>
          <w:trHeight w:val="288"/>
          <w:jc w:val="center"/>
        </w:trPr>
        <w:tc>
          <w:tcPr>
            <w:tcW w:w="101" w:type="pct"/>
            <w:tcBorders>
              <w:bottom w:val="dotted" w:sz="4" w:space="0" w:color="auto"/>
            </w:tcBorders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U</w:t>
            </w:r>
          </w:p>
        </w:tc>
        <w:tc>
          <w:tcPr>
            <w:tcW w:w="138" w:type="pct"/>
            <w:tcBorders>
              <w:bottom w:val="dotted" w:sz="4" w:space="0" w:color="auto"/>
            </w:tcBorders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III</w:t>
            </w:r>
          </w:p>
        </w:tc>
        <w:tc>
          <w:tcPr>
            <w:tcW w:w="1731" w:type="pct"/>
            <w:tcBorders>
              <w:bottom w:val="dotted" w:sz="4" w:space="0" w:color="auto"/>
            </w:tcBorders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Altre uscite per conto terzi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sz w:val="18"/>
                <w:szCs w:val="18"/>
                <w:lang w:eastAsia="it-IT"/>
              </w:rPr>
              <w:t> </w:t>
            </w:r>
          </w:p>
        </w:tc>
      </w:tr>
      <w:tr w:rsidR="00C84A3C" w:rsidRPr="00C84A3C" w:rsidTr="00C84A3C">
        <w:trPr>
          <w:trHeight w:val="300"/>
          <w:jc w:val="center"/>
        </w:trPr>
        <w:tc>
          <w:tcPr>
            <w:tcW w:w="1969" w:type="pct"/>
            <w:gridSpan w:val="3"/>
            <w:tcBorders>
              <w:top w:val="dotted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it-IT"/>
              </w:rPr>
              <w:t>TOTALE GENERALE USCITE</w:t>
            </w:r>
          </w:p>
        </w:tc>
        <w:tc>
          <w:tcPr>
            <w:tcW w:w="40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138.789.338</w:t>
            </w:r>
          </w:p>
        </w:tc>
        <w:tc>
          <w:tcPr>
            <w:tcW w:w="34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29.508.257</w:t>
            </w:r>
          </w:p>
        </w:tc>
        <w:tc>
          <w:tcPr>
            <w:tcW w:w="3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it-IT"/>
              </w:rPr>
              <w:t>1.658.290</w:t>
            </w:r>
          </w:p>
        </w:tc>
        <w:tc>
          <w:tcPr>
            <w:tcW w:w="3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it-IT"/>
              </w:rPr>
              <w:t>1.543.181</w:t>
            </w:r>
          </w:p>
        </w:tc>
        <w:tc>
          <w:tcPr>
            <w:tcW w:w="3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38.050.892</w:t>
            </w:r>
          </w:p>
        </w:tc>
        <w:tc>
          <w:tcPr>
            <w:tcW w:w="3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it-IT"/>
              </w:rPr>
              <w:t>5.399.618</w:t>
            </w:r>
          </w:p>
        </w:tc>
        <w:tc>
          <w:tcPr>
            <w:tcW w:w="41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360.156</w:t>
            </w:r>
          </w:p>
        </w:tc>
        <w:tc>
          <w:tcPr>
            <w:tcW w:w="48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84A3C" w:rsidRPr="00C84A3C" w:rsidRDefault="00C84A3C" w:rsidP="00FC7FE6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</w:pPr>
            <w:r w:rsidRPr="00C84A3C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62.268.945</w:t>
            </w:r>
          </w:p>
        </w:tc>
      </w:tr>
    </w:tbl>
    <w:p w:rsidR="00C5010F" w:rsidRDefault="00C5010F">
      <w:pPr>
        <w:pStyle w:val="Corpotesto"/>
        <w:spacing w:before="7"/>
        <w:rPr>
          <w:sz w:val="23"/>
        </w:rPr>
      </w:pPr>
    </w:p>
    <w:p w:rsidR="00C5010F" w:rsidRDefault="00C5010F">
      <w:pPr>
        <w:pStyle w:val="Corpotesto"/>
        <w:spacing w:before="5"/>
        <w:rPr>
          <w:rFonts w:ascii="Tahoma"/>
          <w:b/>
          <w:sz w:val="25"/>
        </w:rPr>
      </w:pPr>
    </w:p>
    <w:p w:rsidR="00C84A3C" w:rsidRDefault="00C84A3C">
      <w:pPr>
        <w:pStyle w:val="Corpotesto"/>
        <w:spacing w:before="5"/>
        <w:rPr>
          <w:rFonts w:ascii="Tahoma"/>
          <w:b/>
          <w:sz w:val="25"/>
        </w:rPr>
      </w:pPr>
    </w:p>
    <w:p w:rsidR="00C84A3C" w:rsidRDefault="00C84A3C">
      <w:pPr>
        <w:pStyle w:val="Corpotesto"/>
        <w:spacing w:before="5"/>
        <w:rPr>
          <w:rFonts w:ascii="Tahoma"/>
          <w:b/>
          <w:sz w:val="25"/>
        </w:rPr>
      </w:pPr>
    </w:p>
    <w:sectPr w:rsidR="00C84A3C">
      <w:headerReference w:type="default" r:id="rId12"/>
      <w:footerReference w:type="default" r:id="rId13"/>
      <w:pgSz w:w="16840" w:h="11910" w:orient="landscape"/>
      <w:pgMar w:top="380" w:right="1300" w:bottom="1260" w:left="520" w:header="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2B9" w:rsidRDefault="00D432B9">
      <w:r>
        <w:separator/>
      </w:r>
    </w:p>
  </w:endnote>
  <w:endnote w:type="continuationSeparator" w:id="0">
    <w:p w:rsidR="00D432B9" w:rsidRDefault="00D4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838365"/>
      <w:docPartObj>
        <w:docPartGallery w:val="Page Numbers (Bottom of Page)"/>
        <w:docPartUnique/>
      </w:docPartObj>
    </w:sdtPr>
    <w:sdtEndPr/>
    <w:sdtContent>
      <w:p w:rsidR="008866B6" w:rsidRDefault="008866B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A24">
          <w:rPr>
            <w:noProof/>
          </w:rPr>
          <w:t>1</w:t>
        </w:r>
        <w:r>
          <w:fldChar w:fldCharType="end"/>
        </w:r>
      </w:p>
    </w:sdtContent>
  </w:sdt>
  <w:p w:rsidR="00481F92" w:rsidRDefault="00481F9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3C2" w:rsidRDefault="004043C2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3C2" w:rsidRDefault="005A0A6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587392" behindDoc="1" locked="0" layoutInCell="1" allowOverlap="1">
              <wp:simplePos x="0" y="0"/>
              <wp:positionH relativeFrom="page">
                <wp:posOffset>6725285</wp:posOffset>
              </wp:positionH>
              <wp:positionV relativeFrom="page">
                <wp:posOffset>9867265</wp:posOffset>
              </wp:positionV>
              <wp:extent cx="153670" cy="1778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43C2" w:rsidRDefault="004043C2">
                          <w:pPr>
                            <w:spacing w:line="264" w:lineRule="exact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29.55pt;margin-top:776.95pt;width:12.1pt;height:14pt;z-index:-1672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g52sg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" filled="f" stroked="f">
              <v:textbox inset="0,0,0,0">
                <w:txbxContent>
                  <w:p w:rsidR="004043C2" w:rsidRDefault="004043C2">
                    <w:pPr>
                      <w:spacing w:line="264" w:lineRule="exact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3C2" w:rsidRDefault="005A0A6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587904" behindDoc="1" locked="0" layoutInCell="1" allowOverlap="1">
              <wp:simplePos x="0" y="0"/>
              <wp:positionH relativeFrom="page">
                <wp:posOffset>9702800</wp:posOffset>
              </wp:positionH>
              <wp:positionV relativeFrom="page">
                <wp:posOffset>6735445</wp:posOffset>
              </wp:positionV>
              <wp:extent cx="102870" cy="1778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43C2" w:rsidRDefault="004043C2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764pt;margin-top:530.35pt;width:8.1pt;height:14pt;z-index:-167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40bsAIAAK8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" filled="f" stroked="f">
              <v:textbox inset="0,0,0,0">
                <w:txbxContent>
                  <w:p w:rsidR="004043C2" w:rsidRDefault="004043C2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2B9" w:rsidRDefault="00D432B9">
      <w:r>
        <w:separator/>
      </w:r>
    </w:p>
  </w:footnote>
  <w:footnote w:type="continuationSeparator" w:id="0">
    <w:p w:rsidR="00D432B9" w:rsidRDefault="00D4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3C2" w:rsidRDefault="004043C2">
    <w:pPr>
      <w:pStyle w:val="Corpotes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3C2" w:rsidRDefault="004043C2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3C2" w:rsidRDefault="005A0A6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586880" behindDoc="1" locked="0" layoutInCell="1" allowOverlap="1">
              <wp:simplePos x="0" y="0"/>
              <wp:positionH relativeFrom="page">
                <wp:posOffset>1189990</wp:posOffset>
              </wp:positionH>
              <wp:positionV relativeFrom="page">
                <wp:posOffset>788670</wp:posOffset>
              </wp:positionV>
              <wp:extent cx="1562100" cy="19494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43C2" w:rsidRDefault="004043C2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3.7pt;margin-top:62.1pt;width:123pt;height:15.35pt;z-index:-167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udqwIAAKk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" filled="f" stroked="f">
              <v:textbox inset="0,0,0,0">
                <w:txbxContent>
                  <w:p w:rsidR="004043C2" w:rsidRDefault="004043C2">
                    <w:pPr>
                      <w:spacing w:before="21"/>
                      <w:ind w:left="20"/>
                      <w:rPr>
                        <w:rFonts w:ascii="Tahoma" w:hAnsi="Tahoma"/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3C2" w:rsidRDefault="004043C2">
    <w:pPr>
      <w:pStyle w:val="Corpotesto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0F"/>
    <w:rsid w:val="000074E5"/>
    <w:rsid w:val="000B7D90"/>
    <w:rsid w:val="00180EE4"/>
    <w:rsid w:val="00233495"/>
    <w:rsid w:val="002E00EC"/>
    <w:rsid w:val="00346219"/>
    <w:rsid w:val="003E5537"/>
    <w:rsid w:val="004043C2"/>
    <w:rsid w:val="00446854"/>
    <w:rsid w:val="00481F92"/>
    <w:rsid w:val="005A0A61"/>
    <w:rsid w:val="00780526"/>
    <w:rsid w:val="007D7814"/>
    <w:rsid w:val="008866B6"/>
    <w:rsid w:val="0089238C"/>
    <w:rsid w:val="008E786F"/>
    <w:rsid w:val="00972E7E"/>
    <w:rsid w:val="009759CA"/>
    <w:rsid w:val="00A058A7"/>
    <w:rsid w:val="00AC7522"/>
    <w:rsid w:val="00C5010F"/>
    <w:rsid w:val="00C84A3C"/>
    <w:rsid w:val="00D0271B"/>
    <w:rsid w:val="00D432B9"/>
    <w:rsid w:val="00D92A24"/>
    <w:rsid w:val="00F6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528826-72DE-4100-91B8-93158CDC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21"/>
      <w:ind w:left="20"/>
      <w:outlineLvl w:val="0"/>
    </w:pPr>
    <w:rPr>
      <w:rFonts w:ascii="Tahoma" w:eastAsia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101"/>
      <w:ind w:left="2462" w:right="2305"/>
      <w:jc w:val="center"/>
    </w:pPr>
    <w:rPr>
      <w:rFonts w:ascii="Tahoma" w:eastAsia="Tahoma" w:hAnsi="Tahoma" w:cs="Tahoma"/>
      <w:b/>
      <w:b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48" w:lineRule="exact"/>
      <w:jc w:val="right"/>
    </w:pPr>
  </w:style>
  <w:style w:type="paragraph" w:styleId="Intestazione">
    <w:name w:val="header"/>
    <w:basedOn w:val="Normale"/>
    <w:link w:val="IntestazioneCarattere"/>
    <w:uiPriority w:val="99"/>
    <w:unhideWhenUsed/>
    <w:rsid w:val="00A058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A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058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A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A05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972E7E"/>
  </w:style>
  <w:style w:type="character" w:styleId="Collegamentoipertestuale">
    <w:name w:val="Hyperlink"/>
    <w:basedOn w:val="Carpredefinitoparagrafo"/>
    <w:uiPriority w:val="99"/>
    <w:semiHidden/>
    <w:unhideWhenUsed/>
    <w:rsid w:val="00972E7E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72E7E"/>
    <w:rPr>
      <w:color w:val="954F72"/>
      <w:u w:val="single"/>
    </w:rPr>
  </w:style>
  <w:style w:type="paragraph" w:customStyle="1" w:styleId="xl67">
    <w:name w:val="xl67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8">
    <w:name w:val="xl68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69">
    <w:name w:val="xl69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972E7E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2">
    <w:name w:val="xl72"/>
    <w:basedOn w:val="Normale"/>
    <w:rsid w:val="00972E7E"/>
    <w:pPr>
      <w:widowControl/>
      <w:shd w:val="clear" w:color="000000" w:fill="F2F2F2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3">
    <w:name w:val="xl73"/>
    <w:basedOn w:val="Normale"/>
    <w:rsid w:val="00972E7E"/>
    <w:pPr>
      <w:widowControl/>
      <w:shd w:val="clear" w:color="000000" w:fill="D9D9D9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4">
    <w:name w:val="xl74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5">
    <w:name w:val="xl75"/>
    <w:basedOn w:val="Normale"/>
    <w:rsid w:val="00972E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08080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customStyle="1" w:styleId="xl76">
    <w:name w:val="xl76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customStyle="1" w:styleId="xl77">
    <w:name w:val="xl77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8">
    <w:name w:val="xl78"/>
    <w:basedOn w:val="Normale"/>
    <w:rsid w:val="00972E7E"/>
    <w:pPr>
      <w:widowControl/>
      <w:shd w:val="clear" w:color="000000" w:fill="D9E1F2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9">
    <w:name w:val="xl79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0">
    <w:name w:val="xl80"/>
    <w:basedOn w:val="Normale"/>
    <w:rsid w:val="00972E7E"/>
    <w:pPr>
      <w:widowControl/>
      <w:shd w:val="clear" w:color="000000" w:fill="BDD7EE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1">
    <w:name w:val="xl81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2">
    <w:name w:val="xl82"/>
    <w:basedOn w:val="Normale"/>
    <w:rsid w:val="00972E7E"/>
    <w:pPr>
      <w:widowControl/>
      <w:shd w:val="clear" w:color="000000" w:fill="9BC2E6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3">
    <w:name w:val="xl83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4">
    <w:name w:val="xl84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5">
    <w:name w:val="xl85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6">
    <w:name w:val="xl86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7">
    <w:name w:val="xl87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8">
    <w:name w:val="xl88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9">
    <w:name w:val="xl89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0">
    <w:name w:val="xl90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1">
    <w:name w:val="xl91"/>
    <w:basedOn w:val="Normale"/>
    <w:rsid w:val="00972E7E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92">
    <w:name w:val="xl92"/>
    <w:basedOn w:val="Normale"/>
    <w:rsid w:val="00972E7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93">
    <w:name w:val="xl93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94">
    <w:name w:val="xl94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95">
    <w:name w:val="xl95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6">
    <w:name w:val="xl96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7">
    <w:name w:val="xl97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8">
    <w:name w:val="xl98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99">
    <w:name w:val="xl99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0">
    <w:name w:val="xl100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paragraph" w:customStyle="1" w:styleId="xl101">
    <w:name w:val="xl101"/>
    <w:basedOn w:val="Normale"/>
    <w:rsid w:val="00972E7E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02">
    <w:name w:val="xl102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03">
    <w:name w:val="xl103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04">
    <w:name w:val="xl104"/>
    <w:basedOn w:val="Normale"/>
    <w:rsid w:val="00972E7E"/>
    <w:pPr>
      <w:widowControl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05">
    <w:name w:val="xl105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6">
    <w:name w:val="xl106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DD7EE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7">
    <w:name w:val="xl107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8">
    <w:name w:val="xl108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9">
    <w:name w:val="xl109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10">
    <w:name w:val="xl110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11">
    <w:name w:val="xl111"/>
    <w:basedOn w:val="Normale"/>
    <w:rsid w:val="00972E7E"/>
    <w:pPr>
      <w:widowControl/>
      <w:shd w:val="clear" w:color="000000" w:fill="FFFFFF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12">
    <w:name w:val="xl112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13">
    <w:name w:val="xl113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customStyle="1" w:styleId="xl114">
    <w:name w:val="xl114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7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3658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UNIVERSITA’ DI PISA</vt:lpstr>
    </vt:vector>
  </TitlesOfParts>
  <Company/>
  <LinksUpToDate>false</LinksUpToDate>
  <CharactersWithSpaces>24461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UNIVERSITA’ DI PISA</dc:title>
  <dc:creator>Puccinelli</dc:creator>
  <cp:lastModifiedBy>Carmela Marseglia</cp:lastModifiedBy>
  <cp:revision>10</cp:revision>
  <dcterms:created xsi:type="dcterms:W3CDTF">2023-06-13T09:07:00Z</dcterms:created>
  <dcterms:modified xsi:type="dcterms:W3CDTF">2023-06-13T10:26:00Z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2023-06-13T00:00:00Z</vt:filetime>
  </property>
</Properties>
</file>