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5C" w:rsidRPr="006C6796" w:rsidRDefault="004F785C" w:rsidP="004F785C">
      <w:pPr>
        <w:jc w:val="right"/>
        <w:rPr>
          <w:rFonts w:ascii="Times New Roman" w:hAnsi="Times New Roman"/>
          <w:b/>
          <w:sz w:val="24"/>
          <w:u w:val="single"/>
        </w:rPr>
      </w:pPr>
      <w:r w:rsidRPr="006C6796">
        <w:rPr>
          <w:rFonts w:ascii="Times New Roman" w:hAnsi="Times New Roman"/>
          <w:b/>
          <w:sz w:val="24"/>
          <w:u w:val="single"/>
        </w:rPr>
        <w:t>ALLEGATO A</w:t>
      </w:r>
    </w:p>
    <w:p w:rsidR="004F785C" w:rsidRPr="00A757CD" w:rsidRDefault="004F785C" w:rsidP="004F785C">
      <w:pPr>
        <w:jc w:val="center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PROPOSTA DEL PROGETTO</w:t>
      </w:r>
    </w:p>
    <w:p w:rsidR="004F785C" w:rsidRPr="00A757CD" w:rsidRDefault="004F785C" w:rsidP="004F785C">
      <w:pPr>
        <w:pStyle w:val="Paragrafoelenco"/>
        <w:ind w:left="786"/>
        <w:jc w:val="both"/>
        <w:rPr>
          <w:rFonts w:ascii="Times New Roman" w:hAnsi="Times New Roman"/>
          <w:sz w:val="24"/>
        </w:rPr>
      </w:pPr>
    </w:p>
    <w:p w:rsidR="004F785C" w:rsidRPr="00752BFF" w:rsidRDefault="004F785C" w:rsidP="004F785C">
      <w:pPr>
        <w:ind w:left="426"/>
        <w:jc w:val="both"/>
        <w:rPr>
          <w:rFonts w:ascii="Times New Roman" w:hAnsi="Times New Roman"/>
          <w:sz w:val="24"/>
        </w:rPr>
      </w:pPr>
      <w:r w:rsidRPr="00752BFF">
        <w:rPr>
          <w:rFonts w:ascii="Times New Roman" w:hAnsi="Times New Roman"/>
          <w:sz w:val="24"/>
        </w:rPr>
        <w:t>La proposta del progetto deve contenere almeno le seguenti informazioni:</w:t>
      </w:r>
    </w:p>
    <w:p w:rsidR="004F785C" w:rsidRPr="00A757CD" w:rsidRDefault="004F785C" w:rsidP="004F785C">
      <w:pPr>
        <w:pStyle w:val="Paragrafoelenco"/>
        <w:rPr>
          <w:rFonts w:ascii="Times New Roman" w:hAnsi="Times New Roman"/>
          <w:sz w:val="24"/>
        </w:rPr>
      </w:pPr>
    </w:p>
    <w:p w:rsidR="004F785C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Stato dell’</w:t>
      </w:r>
      <w:r>
        <w:rPr>
          <w:rFonts w:ascii="Times New Roman" w:hAnsi="Times New Roman"/>
          <w:sz w:val="24"/>
        </w:rPr>
        <w:t>arte</w:t>
      </w:r>
      <w:r w:rsidRPr="00A757CD">
        <w:rPr>
          <w:rFonts w:ascii="Times New Roman" w:hAnsi="Times New Roman"/>
          <w:sz w:val="24"/>
        </w:rPr>
        <w:t>/delle conoscenze</w:t>
      </w:r>
      <w:r>
        <w:rPr>
          <w:rFonts w:ascii="Times New Roman" w:hAnsi="Times New Roman"/>
          <w:sz w:val="24"/>
        </w:rPr>
        <w:t xml:space="preserve"> e razionale nel settore della ricerca; </w:t>
      </w:r>
    </w:p>
    <w:p w:rsidR="00992E37" w:rsidRPr="00BD7EE4" w:rsidRDefault="00992E37" w:rsidP="00992E37">
      <w:pPr>
        <w:jc w:val="both"/>
      </w:pPr>
      <w:r w:rsidRPr="00BD7EE4">
        <w:t>Ci sono diversi dati che indicano la depressione come fattore di rischio per malattie come il morbo di Alzheimer (AD) (</w:t>
      </w:r>
      <w:r w:rsidRPr="00412608">
        <w:t xml:space="preserve">Ownby RL, Crocco E, Acevedo A, John V, Loewenstein D. Depression and risk </w:t>
      </w:r>
      <w:proofErr w:type="gramStart"/>
      <w:r w:rsidRPr="00412608">
        <w:t>for  Alzheimer</w:t>
      </w:r>
      <w:proofErr w:type="gramEnd"/>
      <w:r w:rsidRPr="00412608">
        <w:t xml:space="preserve"> disease: systematic review, meta-analysis, and metaregression analysis. </w:t>
      </w:r>
      <w:r w:rsidRPr="00AA022A">
        <w:rPr>
          <w:lang w:val="en-US"/>
        </w:rPr>
        <w:t xml:space="preserve">Arch Gen Psychiatry. </w:t>
      </w:r>
      <w:r w:rsidRPr="002C20B5">
        <w:rPr>
          <w:lang w:val="en-US"/>
        </w:rPr>
        <w:t xml:space="preserve">2006 May;63(5):530-8; Sun X, Steffens DC, Au R, Folstein M, Summergrad P, Yee J, Rosenberg I, Mwamburi DM, Qiu WQ. Amyloid-associated depression: a prodromal depression of Alzheimer disease? Arch Gen Psychiatry. </w:t>
      </w:r>
      <w:r w:rsidRPr="00412608">
        <w:t>2008 May;65(5):542-50</w:t>
      </w:r>
      <w:r w:rsidRPr="00BD7EE4">
        <w:t>). La depressione si presenta in tali pazienti diversi anni prima dello sviluppo dei primi sintomi clinici dell’AD (</w:t>
      </w:r>
      <w:r w:rsidRPr="002C20B5">
        <w:t xml:space="preserve">Geerlings MI, Schoevers RA, Beekman AT, Jonker C, Deeg DJ, Schmand B, Adèr HJ, Bouter LM, Van Tilburg W. Depression and risk of cognitive decline and Alzheimer's disease. </w:t>
      </w:r>
      <w:r>
        <w:rPr>
          <w:lang w:val="en-US"/>
        </w:rPr>
        <w:t xml:space="preserve">Results of two prospective community-based studies in The Netherlands. </w:t>
      </w:r>
      <w:r w:rsidRPr="00992E37">
        <w:rPr>
          <w:lang w:val="en-US"/>
        </w:rPr>
        <w:t xml:space="preserve">Br J Psychiatry. 2000 </w:t>
      </w:r>
      <w:proofErr w:type="gramStart"/>
      <w:r w:rsidRPr="00992E37">
        <w:rPr>
          <w:lang w:val="en-US"/>
        </w:rPr>
        <w:t>Jun;176:568</w:t>
      </w:r>
      <w:proofErr w:type="gramEnd"/>
      <w:r w:rsidRPr="00992E37">
        <w:rPr>
          <w:lang w:val="en-US"/>
        </w:rPr>
        <w:t xml:space="preserve">-75; </w:t>
      </w:r>
      <w:r w:rsidRPr="0093546F">
        <w:rPr>
          <w:lang w:val="en-US"/>
        </w:rPr>
        <w:t xml:space="preserve">Visser PJ, Verhey FR, Ponds RW, Kester A, Jolles J. Distinction between preclinical Alzheimer's disease and depression. </w:t>
      </w:r>
      <w:r w:rsidRPr="002C20B5">
        <w:t>J Am Geriatr Soc. 2000 May;48(5):479-84</w:t>
      </w:r>
      <w:r w:rsidRPr="00BD7EE4">
        <w:t>). In particolare i soggetti con una compromissione moderata delle funzioni cognitive e depressione, il rischio di sviluppare AD nel futuro è più del doppio rispetto a pazienti con lo stesso grado di compromissione cognitiva ma non depressi (</w:t>
      </w:r>
      <w:r w:rsidRPr="0093546F">
        <w:t>Modrego PJ, Ferrández J. Depression in patients with mild cognitive impairment increases the risk of developing dementia of Alzheimer type: a prospective color study. Arch Neurol. 2004 Aug;61(8):1290-3</w:t>
      </w:r>
      <w:r w:rsidRPr="00BD7EE4">
        <w:t>). La depressione in questi pazienti non è provocata dalla presa di coscienza del deterioramento delle proprie funzioni cognitive, ma da precise alterazioni biologiche in quelle zone del cervello implicate nella depressione (</w:t>
      </w:r>
      <w:r w:rsidRPr="001256E9">
        <w:t xml:space="preserve">Andersen K, Lolk A, Kragh-Sørensen P, Petersen </w:t>
      </w:r>
      <w:proofErr w:type="gramStart"/>
      <w:r w:rsidRPr="001256E9">
        <w:t>NE</w:t>
      </w:r>
      <w:proofErr w:type="gramEnd"/>
      <w:r w:rsidRPr="001256E9">
        <w:t>, Green A. Depression and the risk of Alzheimer disease. Epidemiology. 2005 Mar;16(2):233-8</w:t>
      </w:r>
      <w:r w:rsidRPr="00BD7EE4">
        <w:t>).</w:t>
      </w:r>
    </w:p>
    <w:p w:rsidR="00992E37" w:rsidRPr="00BD7EE4" w:rsidRDefault="00992E37" w:rsidP="00992E37">
      <w:pPr>
        <w:jc w:val="both"/>
      </w:pPr>
      <w:r w:rsidRPr="00BD7EE4">
        <w:t>Recentemente è stato evidenziato che sia i deficit mnemonici che i sintomi neuropsichiatrici possono essere prodotti dalla A</w:t>
      </w:r>
      <w:r>
        <w:t>β</w:t>
      </w:r>
      <w:r w:rsidRPr="00BD7EE4">
        <w:t xml:space="preserve"> più che dalla forma insolubile normalmente responsabile della formazione delle placche negli stati avanzati dell’AD (</w:t>
      </w:r>
      <w:r w:rsidRPr="0093546F">
        <w:t>Rowan MJ, Klyubin I, Wang Q, Anwyl R. Synaptic plasticity disruption by amyloid beta protein: modulation by potential Alzheimer's disease modifying therapies. Biochem Soc Trans. 2005 Aug;33(Pt 4):563-7</w:t>
      </w:r>
      <w:r w:rsidRPr="00BD7EE4">
        <w:t>). Inoltre alcuni studi dimostrano una correlazione diretta tra frammenti di A</w:t>
      </w:r>
      <w:r>
        <w:t>β</w:t>
      </w:r>
      <w:r w:rsidRPr="00BD7EE4">
        <w:t xml:space="preserve"> solubile e deficit cognitivi (</w:t>
      </w:r>
      <w:r w:rsidRPr="001256E9">
        <w:t xml:space="preserve">Mattson MP. </w:t>
      </w:r>
      <w:r w:rsidRPr="001256E9">
        <w:rPr>
          <w:lang w:val="en-US"/>
        </w:rPr>
        <w:t xml:space="preserve">Pathways towards and away from Alzheimer's disease. Nature. 2004 Aug 5;430(7000):631-9; Cleary JP, Walsh DM, Hofmeister JJ, Shankar GM, Kuskowski MA, Selkoe DJ, </w:t>
      </w:r>
      <w:proofErr w:type="gramStart"/>
      <w:r w:rsidRPr="001256E9">
        <w:rPr>
          <w:lang w:val="en-US"/>
        </w:rPr>
        <w:t>Ashe  KH</w:t>
      </w:r>
      <w:proofErr w:type="gramEnd"/>
      <w:r w:rsidRPr="001256E9">
        <w:rPr>
          <w:lang w:val="en-US"/>
        </w:rPr>
        <w:t xml:space="preserve">. Natural oligomers of the amyloid-beta protein specifically disrupt </w:t>
      </w:r>
      <w:proofErr w:type="gramStart"/>
      <w:r w:rsidRPr="001256E9">
        <w:rPr>
          <w:lang w:val="en-US"/>
        </w:rPr>
        <w:t>cognitive  function</w:t>
      </w:r>
      <w:proofErr w:type="gramEnd"/>
      <w:r w:rsidRPr="001256E9">
        <w:rPr>
          <w:lang w:val="en-US"/>
        </w:rPr>
        <w:t xml:space="preserve">. </w:t>
      </w:r>
      <w:r w:rsidRPr="001256E9">
        <w:t>Nat Neurosci. 2005 Jan;8(1):79-84</w:t>
      </w:r>
      <w:r w:rsidRPr="00BD7EE4">
        <w:t xml:space="preserve">) e che un aumento dei </w:t>
      </w:r>
      <w:proofErr w:type="gramStart"/>
      <w:r w:rsidRPr="00BD7EE4">
        <w:t>livelli  di</w:t>
      </w:r>
      <w:proofErr w:type="gramEnd"/>
      <w:r w:rsidRPr="00BD7EE4">
        <w:t xml:space="preserve"> A</w:t>
      </w:r>
      <w:r>
        <w:t>β</w:t>
      </w:r>
      <w:r w:rsidRPr="00BD7EE4">
        <w:t xml:space="preserve"> solubile sottoforma di oligomeri provoca disfunzioni delle sinapsi (</w:t>
      </w:r>
      <w:r w:rsidRPr="0093546F">
        <w:t xml:space="preserve">Hardy J, Selkoe DJ. </w:t>
      </w:r>
      <w:r w:rsidRPr="0093546F">
        <w:rPr>
          <w:lang w:val="en-US"/>
        </w:rPr>
        <w:t xml:space="preserve">The amyloid hypothesis of Alzheimer's disease: progress and problems on the road to therapeutics. Science. 2002 Jul 19;297(5580):353-6; Selkoe DJ, Schenk D. Alzheimer's disease: molecular understanding predicts amyloid-based therapeutics. </w:t>
      </w:r>
      <w:r w:rsidRPr="0093546F">
        <w:t xml:space="preserve">Annu Rev Pharmacol Toxicol. </w:t>
      </w:r>
      <w:proofErr w:type="gramStart"/>
      <w:r w:rsidRPr="0093546F">
        <w:t>2003;43:545</w:t>
      </w:r>
      <w:proofErr w:type="gramEnd"/>
      <w:r w:rsidRPr="0093546F">
        <w:t>-84</w:t>
      </w:r>
      <w:r w:rsidRPr="00BD7EE4">
        <w:t>). Lo sviluppo dei sintomi non-cognitivi nell’AD sembra, quindi, che possa essere provocato da un aumento di A</w:t>
      </w:r>
      <w:r>
        <w:t>β</w:t>
      </w:r>
      <w:r w:rsidRPr="00BD7EE4">
        <w:t xml:space="preserve"> solubile. Alcuni autori hanno riportato che un aumento dell’A</w:t>
      </w:r>
      <w:r>
        <w:t>β</w:t>
      </w:r>
      <w:r w:rsidRPr="00BD7EE4">
        <w:t xml:space="preserve"> solubile può innescare la depressione in alcuni pazienti indipendentemente dal fatto che questi svilupperanno o meno AD (</w:t>
      </w:r>
      <w:r w:rsidRPr="0093546F">
        <w:t xml:space="preserve">Pomara N, Sidtis JJ. </w:t>
      </w:r>
      <w:r w:rsidRPr="0093546F">
        <w:rPr>
          <w:lang w:val="en-US"/>
        </w:rPr>
        <w:t xml:space="preserve">Brain neurotoxic amyloid-beta peptides: their potential role in the pathophysiology of depression and as molecular therapeutic targets. </w:t>
      </w:r>
      <w:r w:rsidRPr="0093546F">
        <w:t>Br J Pharmacol. 2010 Oct;161(4):768-70</w:t>
      </w:r>
      <w:r w:rsidRPr="00BD7EE4">
        <w:t>). Il nostro gruppo di ricerca ha dimostrato che A</w:t>
      </w:r>
      <w:r>
        <w:t>β</w:t>
      </w:r>
      <w:r w:rsidRPr="00BD7EE4">
        <w:t xml:space="preserve"> solubile induce uno stato depressivo nei ratti sottoposti a FST. Questo effetto si accompagna ad una riduzione di serotonina e dell’espressione di brain-derived neurotrophic factor (BDNF) e nerve growth factor nella corteccia prefrontale (PFC): la PFC è considerata centrale nello sviluppo della </w:t>
      </w:r>
      <w:r w:rsidRPr="00BD7EE4">
        <w:lastRenderedPageBreak/>
        <w:t>depressione (</w:t>
      </w:r>
      <w:r w:rsidRPr="0093546F">
        <w:t xml:space="preserve">Colaianna M, Tucci P, Zotti M, Morgese MG, Schiavone S, Govoni S, Cuomo V, Trabace L. Soluble beta </w:t>
      </w:r>
      <w:proofErr w:type="gramStart"/>
      <w:r w:rsidRPr="0093546F">
        <w:t>amyloid(</w:t>
      </w:r>
      <w:proofErr w:type="gramEnd"/>
      <w:r w:rsidRPr="0093546F">
        <w:t>1-42): a critical player in producing behavioural and biochemical changes evoking depressive-related state? Br J Pharmacol. 2010 Apr;159(8):1704-15</w:t>
      </w:r>
      <w:r w:rsidRPr="00BD7EE4">
        <w:t>).</w:t>
      </w:r>
    </w:p>
    <w:p w:rsidR="00992E37" w:rsidRPr="00BD7EE4" w:rsidRDefault="00992E37" w:rsidP="00992E37">
      <w:pPr>
        <w:jc w:val="both"/>
      </w:pPr>
      <w:r w:rsidRPr="00BD7EE4">
        <w:t>In clinica sono stati riscontrati aumentati livelli di A</w:t>
      </w:r>
      <w:r>
        <w:t>β</w:t>
      </w:r>
      <w:r w:rsidRPr="00BD7EE4">
        <w:t xml:space="preserve"> solubile in pazienti non affetti da demenza ma con diagnosi di depressione maggiore secondo i criteri del DSM-IV (</w:t>
      </w:r>
      <w:r w:rsidRPr="00C4364F">
        <w:t xml:space="preserve">Pomara N, Doraiswamy PM, Willoughby LM, Roth AE, Mulsant BH, Sidtis JJ, </w:t>
      </w:r>
      <w:proofErr w:type="gramStart"/>
      <w:r w:rsidRPr="00C4364F">
        <w:t>Mehta  PD</w:t>
      </w:r>
      <w:proofErr w:type="gramEnd"/>
      <w:r w:rsidRPr="00C4364F">
        <w:t>, Reynolds CF 3rd, Pollock BG. Elevation in plasma Abeta42 in geriatric depression: a pilot study. Neurochem Res. 2006 Mar;31(3):341-9</w:t>
      </w:r>
      <w:r w:rsidRPr="00BD7EE4">
        <w:t>); estremamente importante il fatto che I livelli di A</w:t>
      </w:r>
      <w:r>
        <w:t>β</w:t>
      </w:r>
      <w:r w:rsidRPr="00BD7EE4">
        <w:t xml:space="preserve"> solubile rimanevano alti anche dopo trattamento con gli antidepressivi. Inoltre un aumento dei livelli nei fluidi interstiziali di A</w:t>
      </w:r>
      <w:r>
        <w:t>β</w:t>
      </w:r>
      <w:r w:rsidRPr="00BD7EE4">
        <w:t xml:space="preserve"> solubile è comune in pazienti depressi con alti livelli di ormoni dello stress (Pomara and Sidtis, 2010).</w:t>
      </w:r>
    </w:p>
    <w:p w:rsidR="00992E37" w:rsidRPr="00BD7EE4" w:rsidRDefault="00992E37" w:rsidP="00992E37">
      <w:pPr>
        <w:jc w:val="both"/>
      </w:pPr>
    </w:p>
    <w:p w:rsidR="00992E37" w:rsidRPr="00AA022A" w:rsidRDefault="00992E37" w:rsidP="00992E37">
      <w:pPr>
        <w:jc w:val="both"/>
      </w:pPr>
    </w:p>
    <w:p w:rsidR="00992E37" w:rsidRPr="00BD7EE4" w:rsidRDefault="00992E37" w:rsidP="00992E37">
      <w:pPr>
        <w:spacing w:after="120"/>
        <w:ind w:right="1000"/>
        <w:rPr>
          <w:b/>
          <w:bCs/>
        </w:rPr>
      </w:pPr>
      <w:r w:rsidRPr="00BD7EE4">
        <w:rPr>
          <w:b/>
          <w:bCs/>
        </w:rPr>
        <w:t>Azioni degli acidi boswellici: [acido 11-keto-beta-boswellico (KBA) e acido acetil-11-keto-beta-boswellico (AKBA)]</w:t>
      </w:r>
    </w:p>
    <w:p w:rsidR="00992E37" w:rsidRPr="00BD7EE4" w:rsidRDefault="00992E37" w:rsidP="00992E37">
      <w:pPr>
        <w:spacing w:after="120"/>
        <w:ind w:right="1000"/>
        <w:jc w:val="center"/>
        <w:rPr>
          <w:sz w:val="18"/>
          <w:szCs w:val="18"/>
        </w:rPr>
      </w:pPr>
    </w:p>
    <w:p w:rsidR="00992E37" w:rsidRPr="00BD7EE4" w:rsidRDefault="00992E37" w:rsidP="00992E37">
      <w:pPr>
        <w:spacing w:after="120"/>
        <w:ind w:right="1000"/>
        <w:jc w:val="both"/>
      </w:pPr>
      <w:r w:rsidRPr="00BD7EE4">
        <w:t xml:space="preserve">Il frankincense o olibanum è </w:t>
      </w:r>
      <w:r>
        <w:t xml:space="preserve">una </w:t>
      </w:r>
      <w:r w:rsidRPr="00BD7EE4">
        <w:t xml:space="preserve">resina prodotta da piante Boswellia, della famiglia delle Burseracee, ed è conosciuto fin dalla antichità per le sue proprietà curative.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 xml:space="preserve">Il genere Boswellia della famiglia delle Burseracee, è diviso in una quindicina di specie. È originaria del Golfo Persico nell’Oceano Indiano ed è coltivata in numerosi paesi come Sud dell'Arabia, Somalia, Etiopia, Eritrea, Sudan e Kenia.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 xml:space="preserve">La Boswellia serrata è coltivata in India.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 xml:space="preserve">La migliore resina è raccolta in autunno, a seguito di incisioni praticate in estate e produce ciò che viene chiamato incenso bianco per opposizione all'incenso rosso, raccolto in primavera dopo incisioni nel corso dell'inverno. </w:t>
      </w:r>
    </w:p>
    <w:p w:rsidR="00992E37" w:rsidRDefault="00992E37" w:rsidP="00992E37">
      <w:pPr>
        <w:spacing w:after="120"/>
        <w:ind w:right="1000"/>
        <w:jc w:val="both"/>
      </w:pPr>
      <w:r w:rsidRPr="00BD7EE4">
        <w:t xml:space="preserve">È da questa gomma oleoresinosa, fragrante, trasparente e giallo-brunastra, che si estrae con varie tecniche l’olio essenziale d'incenso, composto principalmente da triterpeni pentaciclici derivati dall’acido boswellico. </w:t>
      </w:r>
    </w:p>
    <w:p w:rsidR="00992E37" w:rsidRDefault="00992E37" w:rsidP="00992E37">
      <w:pPr>
        <w:spacing w:after="120"/>
        <w:ind w:right="1000"/>
        <w:jc w:val="both"/>
      </w:pPr>
      <w:r>
        <w:t>Sono riportate:</w:t>
      </w:r>
    </w:p>
    <w:p w:rsidR="00992E37" w:rsidRPr="00BD7EE4" w:rsidRDefault="00992E37" w:rsidP="00992E37">
      <w:pPr>
        <w:numPr>
          <w:ilvl w:val="0"/>
          <w:numId w:val="2"/>
        </w:numPr>
        <w:tabs>
          <w:tab w:val="left" w:pos="220"/>
          <w:tab w:val="left" w:pos="720"/>
        </w:tabs>
        <w:suppressAutoHyphens/>
        <w:spacing w:after="120" w:line="240" w:lineRule="auto"/>
        <w:ind w:left="0" w:right="1000" w:firstLine="0"/>
        <w:jc w:val="both"/>
      </w:pPr>
      <w:r w:rsidRPr="00BD7EE4">
        <w:t>azioni supportate da trial clinici: antinfiammatoria, antiartritica, analgesica, antitumorale, antiasmatica e aromatica;</w:t>
      </w:r>
    </w:p>
    <w:p w:rsidR="00992E37" w:rsidRPr="00BD7EE4" w:rsidRDefault="00992E37" w:rsidP="00992E37">
      <w:pPr>
        <w:numPr>
          <w:ilvl w:val="0"/>
          <w:numId w:val="2"/>
        </w:numPr>
        <w:tabs>
          <w:tab w:val="left" w:pos="220"/>
          <w:tab w:val="left" w:pos="720"/>
        </w:tabs>
        <w:suppressAutoHyphens/>
        <w:spacing w:after="120" w:line="240" w:lineRule="auto"/>
        <w:ind w:left="0" w:right="1000" w:firstLine="0"/>
        <w:jc w:val="both"/>
      </w:pPr>
      <w:r w:rsidRPr="00BD7EE4">
        <w:t xml:space="preserve">azioni supportate da ricerche su animali e in vitro: antinfiammatoria, analgesica, immunomodulatoria, anticarcinogenetica, antiiperilipidemica, antifungina, antipiretica, aromatica; </w:t>
      </w:r>
    </w:p>
    <w:p w:rsidR="00992E37" w:rsidRPr="00BD7EE4" w:rsidRDefault="00992E37" w:rsidP="00992E37">
      <w:pPr>
        <w:numPr>
          <w:ilvl w:val="0"/>
          <w:numId w:val="2"/>
        </w:numPr>
        <w:tabs>
          <w:tab w:val="left" w:pos="220"/>
          <w:tab w:val="left" w:pos="720"/>
        </w:tabs>
        <w:suppressAutoHyphens/>
        <w:spacing w:after="120" w:line="240" w:lineRule="auto"/>
        <w:ind w:left="0" w:right="1000" w:firstLine="0"/>
        <w:jc w:val="both"/>
      </w:pPr>
      <w:r w:rsidRPr="00BD7EE4">
        <w:t>azioni storiche o teoriche che mancano di evidenza appropriata: anticatarrale, mucolitica, espettorante; stimolante uterina, emmenagoga, diuretica, antidepressiva, emulgente, emolliente, lassativa, nell’amenorrea, contro la sifilide, contro le infezioni urinarie, anticancro.</w:t>
      </w:r>
    </w:p>
    <w:p w:rsidR="00992E37" w:rsidRPr="00BD7EE4" w:rsidRDefault="00992E37" w:rsidP="00992E37">
      <w:pPr>
        <w:spacing w:after="120"/>
        <w:ind w:right="1000"/>
        <w:jc w:val="both"/>
      </w:pP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Recentemente è stato estratto l’incensolo acetato, un diterpene componente dell’incenso che esplica psicoattività antiansia e antidepressione, con meccanismo di attivazione dei canali TRP3 nel cervello</w:t>
      </w:r>
      <w:r>
        <w:rPr>
          <w:color w:val="FF0000"/>
          <w:vertAlign w:val="superscript"/>
        </w:rPr>
        <w:t>1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</w:pPr>
    </w:p>
    <w:p w:rsidR="00992E37" w:rsidRPr="00BD7EE4" w:rsidRDefault="00992E37" w:rsidP="00992E37">
      <w:pPr>
        <w:spacing w:after="120"/>
        <w:ind w:right="1000"/>
        <w:jc w:val="both"/>
        <w:rPr>
          <w:b/>
          <w:bCs/>
          <w:i/>
          <w:iCs/>
        </w:rPr>
      </w:pPr>
      <w:r w:rsidRPr="00BD7EE4">
        <w:rPr>
          <w:b/>
          <w:bCs/>
          <w:i/>
          <w:iCs/>
        </w:rPr>
        <w:t>Dati della letteratura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lastRenderedPageBreak/>
        <w:t>Studi in vivo dimostrano che gli acidi boswellici sono abbastanza sicuri e che non mostrano genotossicità fino a una dose di 1000 mg/Kg nel ratto</w:t>
      </w:r>
      <w:r>
        <w:rPr>
          <w:color w:val="FF0000"/>
          <w:vertAlign w:val="superscript"/>
        </w:rPr>
        <w:t>2</w:t>
      </w:r>
      <w:r w:rsidRPr="00BD7EE4">
        <w:rPr>
          <w:color w:val="FF0000"/>
        </w:rPr>
        <w:t xml:space="preserve"> </w:t>
      </w:r>
      <w:r w:rsidRPr="00BD7EE4">
        <w:t>né lesioni organiche oltre 5000 mg/Kg</w:t>
      </w:r>
      <w:r>
        <w:rPr>
          <w:color w:val="FF0000"/>
          <w:vertAlign w:val="superscript"/>
        </w:rPr>
        <w:t>3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Il contenuto degli acidi boswellici nella Boswellia serrata è notevolmente differente</w:t>
      </w:r>
      <w:r>
        <w:rPr>
          <w:color w:val="FF0000"/>
          <w:vertAlign w:val="superscript"/>
        </w:rPr>
        <w:t>4</w:t>
      </w:r>
      <w:r w:rsidRPr="00BD7EE4">
        <w:t>:</w:t>
      </w:r>
    </w:p>
    <w:p w:rsidR="00992E37" w:rsidRDefault="00992E37" w:rsidP="00992E37">
      <w:pPr>
        <w:spacing w:after="120"/>
        <w:ind w:right="1000"/>
        <w:jc w:val="both"/>
        <w:rPr>
          <w:lang w:val="en-US"/>
        </w:rPr>
      </w:pPr>
      <w:r>
        <w:rPr>
          <w:lang w:val="en-US"/>
        </w:rPr>
        <w:t xml:space="preserve">Alpha-beta-boswellic acid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8.68-16.1   mg/g</w:t>
      </w:r>
    </w:p>
    <w:p w:rsidR="00992E37" w:rsidRDefault="00992E37" w:rsidP="00992E37">
      <w:pPr>
        <w:spacing w:after="120"/>
        <w:ind w:right="1000"/>
        <w:jc w:val="both"/>
        <w:rPr>
          <w:lang w:val="en-US"/>
        </w:rPr>
      </w:pPr>
      <w:r>
        <w:rPr>
          <w:lang w:val="en-US"/>
        </w:rPr>
        <w:t>Beta-boswellic acid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53,5-246.9 mg/g</w:t>
      </w:r>
    </w:p>
    <w:p w:rsidR="00992E37" w:rsidRDefault="00992E37" w:rsidP="00992E37">
      <w:pPr>
        <w:spacing w:after="120"/>
        <w:ind w:right="1000"/>
        <w:jc w:val="both"/>
        <w:rPr>
          <w:lang w:val="en-US"/>
        </w:rPr>
      </w:pPr>
      <w:r>
        <w:rPr>
          <w:lang w:val="en-US"/>
        </w:rPr>
        <w:t>3-acetyl-beta-boswellic acid</w:t>
      </w:r>
      <w:r>
        <w:rPr>
          <w:lang w:val="en-US"/>
        </w:rPr>
        <w:tab/>
      </w:r>
      <w:r>
        <w:rPr>
          <w:lang w:val="en-US"/>
        </w:rPr>
        <w:tab/>
        <w:t>38.4-192.9 mg/g</w:t>
      </w:r>
    </w:p>
    <w:p w:rsidR="00992E37" w:rsidRDefault="00992E37" w:rsidP="00992E37">
      <w:pPr>
        <w:spacing w:after="120"/>
        <w:ind w:right="1000"/>
        <w:jc w:val="both"/>
        <w:rPr>
          <w:lang w:val="en-US"/>
        </w:rPr>
      </w:pPr>
      <w:r>
        <w:rPr>
          <w:lang w:val="en-US"/>
        </w:rPr>
        <w:t xml:space="preserve">11-keto-beta-boswellic acid </w:t>
      </w:r>
      <w:r>
        <w:rPr>
          <w:lang w:val="en-US"/>
        </w:rPr>
        <w:tab/>
      </w:r>
      <w:r>
        <w:rPr>
          <w:lang w:val="en-US"/>
        </w:rPr>
        <w:tab/>
        <w:t>4.48-5.81   mg/g</w:t>
      </w:r>
    </w:p>
    <w:p w:rsidR="00992E37" w:rsidRDefault="00992E37" w:rsidP="00992E37">
      <w:pPr>
        <w:spacing w:after="120"/>
        <w:ind w:right="1000"/>
        <w:jc w:val="both"/>
        <w:rPr>
          <w:lang w:val="en-US"/>
        </w:rPr>
      </w:pPr>
      <w:r>
        <w:rPr>
          <w:lang w:val="en-US"/>
        </w:rPr>
        <w:t>11-keto-beta-acetyl-boswellic acid</w:t>
      </w:r>
      <w:r>
        <w:rPr>
          <w:lang w:val="en-US"/>
        </w:rPr>
        <w:tab/>
      </w:r>
      <w:r>
        <w:rPr>
          <w:lang w:val="en-US"/>
        </w:rPr>
        <w:tab/>
        <w:t>32,7-44.2   mg/g</w:t>
      </w:r>
    </w:p>
    <w:p w:rsidR="00992E37" w:rsidRDefault="00992E37" w:rsidP="00992E37">
      <w:pPr>
        <w:spacing w:after="120"/>
        <w:ind w:right="1000"/>
        <w:jc w:val="both"/>
        <w:rPr>
          <w:lang w:val="en-US"/>
        </w:rPr>
      </w:pPr>
    </w:p>
    <w:p w:rsidR="00992E37" w:rsidRPr="00BD7EE4" w:rsidRDefault="00992E37" w:rsidP="00992E37">
      <w:pPr>
        <w:spacing w:after="120"/>
        <w:ind w:right="1000"/>
        <w:jc w:val="both"/>
        <w:rPr>
          <w:b/>
          <w:i/>
          <w:iCs/>
        </w:rPr>
      </w:pPr>
      <w:r w:rsidRPr="00BD7EE4">
        <w:rPr>
          <w:b/>
          <w:i/>
          <w:iCs/>
        </w:rPr>
        <w:t>Metabolismo degli acidi boswellici in vitro e in vivo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Dopo somministrazione, in giovani volontari, di 333 mg per os di estratto di Boswellia serrata, l’emivita di eliminazione è di circa 6 ore e ciò suggerisce che la droga dev’essere somministrata con tale frequenza. Lo st</w:t>
      </w:r>
      <w:r>
        <w:t>e</w:t>
      </w:r>
      <w:r w:rsidRPr="00BD7EE4">
        <w:t>ady state di concentrazione plasmatica è raggiunto dopo circa 30 ore.  A questa dose il preparato è ben tollerato, privo di effetti collaterali</w:t>
      </w:r>
      <w:r>
        <w:rPr>
          <w:color w:val="FF0000"/>
          <w:vertAlign w:val="superscript"/>
        </w:rPr>
        <w:t>5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Studi di farmacocinetica hanno dimostrato la scarsa biodisponibilità degli acidi boswellici, in particolare dei due più potenti: l’acido 11-keto-beta-boswellico e il 3-acetil-11-keto-beta-boswellico e ciò è dovuto essenzialmente sia  al modesto assorbimento per os</w:t>
      </w:r>
      <w:r>
        <w:rPr>
          <w:color w:val="FF0000"/>
          <w:vertAlign w:val="superscript"/>
        </w:rPr>
        <w:t>6</w:t>
      </w:r>
      <w:r w:rsidRPr="00BD7EE4">
        <w:t>, sia allo sbarramento nel passaggio attraverso la barriera emato-encefalica: per l’acido 11-keto-beta-boswellico (KBA) e l’acido acetil-11-keto-beta-boswellico (AKBA) il rapporto cervello/plasma è, rispettivamente, all’incirca 0,51 e 0,81, nonostante la loro lipofilicità. Si ritiene che ciò sia dovuto alla loro interazione con transporters, in particolare con P-glicoproteine (Pgp) sia a livello intestinale che cerebrale</w:t>
      </w:r>
      <w:r>
        <w:rPr>
          <w:color w:val="FF0000"/>
          <w:vertAlign w:val="superscript"/>
        </w:rPr>
        <w:t>7</w:t>
      </w:r>
      <w:r w:rsidRPr="00BD7EE4">
        <w:t xml:space="preserve"> o, piuttosto, perché KBA e AKBA modulano l’attività di OATP1B3 (organic anion transporter protein 1B3) e di MRP2 (multidrug resistance-associated protein 2)</w:t>
      </w:r>
      <w:r>
        <w:rPr>
          <w:color w:val="FF0000"/>
          <w:vertAlign w:val="superscript"/>
        </w:rPr>
        <w:t>8</w:t>
      </w:r>
      <w:r w:rsidRPr="00BD7EE4">
        <w:t>. Per aumentare l’assorbimento per os si è ricorso alla loro complessazione con la fosfatidilcolina</w:t>
      </w:r>
      <w:r>
        <w:rPr>
          <w:color w:val="FF0000"/>
          <w:vertAlign w:val="superscript"/>
        </w:rPr>
        <w:t>9</w:t>
      </w:r>
      <w:r w:rsidRPr="00BD7EE4">
        <w:t>. L’assorbimento per os è notevolmente aumentato da una dieta ricca di grassi</w:t>
      </w:r>
      <w:r>
        <w:rPr>
          <w:color w:val="FF0000"/>
          <w:vertAlign w:val="superscript"/>
        </w:rPr>
        <w:t>10</w:t>
      </w:r>
      <w:r w:rsidRPr="00BD7EE4">
        <w:t xml:space="preserve">.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Pertanto, la via di somministrazione privilegiata dei terpeni, e degli acidi boswellici in particolare, è inalatoria, o più precisamente “la via olfattiva dei terpeni”.</w:t>
      </w:r>
    </w:p>
    <w:p w:rsidR="00992E37" w:rsidRPr="00BD7EE4" w:rsidRDefault="00992E37" w:rsidP="00992E37">
      <w:pPr>
        <w:spacing w:after="120"/>
        <w:ind w:right="1000"/>
        <w:jc w:val="both"/>
      </w:pPr>
    </w:p>
    <w:p w:rsidR="00992E37" w:rsidRPr="00BD7EE4" w:rsidRDefault="00992E37" w:rsidP="00992E37">
      <w:pPr>
        <w:spacing w:after="120"/>
        <w:ind w:right="1000"/>
        <w:jc w:val="both"/>
        <w:rPr>
          <w:b/>
          <w:i/>
          <w:iCs/>
        </w:rPr>
      </w:pPr>
      <w:r w:rsidRPr="00BD7EE4">
        <w:rPr>
          <w:b/>
          <w:i/>
          <w:iCs/>
        </w:rPr>
        <w:t>La “via olfattiva dei terpeni” al sistema nervoso centrale.</w:t>
      </w:r>
    </w:p>
    <w:p w:rsidR="00992E37" w:rsidRPr="00BD7EE4" w:rsidRDefault="00992E37" w:rsidP="00992E37">
      <w:pPr>
        <w:spacing w:after="120"/>
        <w:ind w:right="1000"/>
        <w:jc w:val="both"/>
      </w:pPr>
      <w:proofErr w:type="gramStart"/>
      <w:r w:rsidRPr="00BD7EE4">
        <w:t>E’</w:t>
      </w:r>
      <w:proofErr w:type="gramEnd"/>
      <w:r w:rsidRPr="00BD7EE4">
        <w:t xml:space="preserve"> stata individuata una glicoproteina, specifica per i tessuti nasali, detta appunto “proteina legante olfattiva”, capace di veicolare piccole molecole liofile, quali i terpeni, che è riconosciuta specificamente da recettori espressi sulla superficie delle cellule olfattive.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E’ ragionevole ipotizzare che, durante l’inalazione di terpeni, le proteine leganti olfattive, saturati i recettori delle cellule olfattive, trasportino i terpeni e passino rapidamente nel sangue in proporzione maggiore dei terpeni legati alle Pgp, e quindi in pochi secondi raggiungano il cuore dx e, dopo la circolazione polmonare, vengano immessi nella circolazione generale cosicché in meno di un minuto raggiungono direttamente il cervello e il midollo spinale con il sangue arterioso cerebrale e spinale, senza subire il metabolismo epatico al primo passaggio in circolo. I terpeni oltrepassano la barriera emato-encefalica e con la filtrazione corioidea passano nel liquor cerebrospinale (LCS).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lastRenderedPageBreak/>
        <w:t xml:space="preserve">L'LCS può essere considerato un ottimo veicolo per i terpeni: in effetti, </w:t>
      </w:r>
      <w:proofErr w:type="gramStart"/>
      <w:r w:rsidRPr="00BD7EE4">
        <w:t>poiché  in</w:t>
      </w:r>
      <w:proofErr w:type="gramEnd"/>
      <w:r w:rsidRPr="00BD7EE4">
        <w:t xml:space="preserve"> esso hanno una concentrazione maggiore rispetto al liquido del compartimento extracellulare, si instaura un movimento inverso di terpeni fra LCS, liquido extracellulare e cellule cerebrali.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Nell’animale da esperimento l’eliminazione di LCS avviene prevalentemente tramite il nervo olfattorio (sono state dimostrate connessioni aperte fra spazio perineurale delle fibre del nervo olfattivo e vasi iniziali linfatici nella mucosa nasale)</w:t>
      </w:r>
      <w:r>
        <w:rPr>
          <w:color w:val="FF0000"/>
          <w:vertAlign w:val="superscript"/>
        </w:rPr>
        <w:t>11</w:t>
      </w:r>
      <w:r w:rsidRPr="00BD7EE4">
        <w:rPr>
          <w:color w:val="FF0000"/>
          <w:vertAlign w:val="superscript"/>
        </w:rPr>
        <w:t>,</w:t>
      </w:r>
      <w:r>
        <w:rPr>
          <w:color w:val="FF0000"/>
          <w:vertAlign w:val="superscript"/>
        </w:rPr>
        <w:t>12</w:t>
      </w:r>
      <w:r w:rsidRPr="00BD7EE4">
        <w:t xml:space="preserve">; in misura molto minore attraverso gli spazi perineurali del nervo ottico, che drena dietro il bulbo ottico nel tessuto orbitario; attraverso il nervo vestibolo-cocleare, che drena negli spazi perilinfatici dell’orecchio interno; attraverso la membrana della finestra ovale nei vasi linfatici dell’orecchio medio. </w:t>
      </w:r>
      <w:proofErr w:type="gramStart"/>
      <w:r w:rsidRPr="00BD7EE4">
        <w:t>E’</w:t>
      </w:r>
      <w:proofErr w:type="gramEnd"/>
      <w:r w:rsidRPr="00BD7EE4">
        <w:t xml:space="preserve"> perciò logico dedurre che l’eliminazione di LCS e quindi dei terpeni possa avvenire anche attraverso gli spazi perineurali degli altri nervi cranici.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 xml:space="preserve">In conclusione, la via olfattiva assicura il traffico dei terpeni dal naso al sistema nervoso centrale e viceversa, con un modo assolutamente semplice, vale a dire la via inalatoria.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Gli acidi boswellici costituiscono i maggiori principi farmacologici dell’incenso, ma i loro targets e le sottostanti modalità di azione molecolare non sono ancora chiare, quelle finora note sono qui sotto riassunte.</w:t>
      </w:r>
    </w:p>
    <w:p w:rsidR="00992E37" w:rsidRPr="00BD7EE4" w:rsidRDefault="00992E37" w:rsidP="00992E37">
      <w:pPr>
        <w:spacing w:after="120"/>
        <w:ind w:right="1000"/>
        <w:jc w:val="both"/>
      </w:pPr>
    </w:p>
    <w:p w:rsidR="00992E37" w:rsidRPr="00BD7EE4" w:rsidRDefault="00992E37" w:rsidP="00992E37">
      <w:pPr>
        <w:spacing w:after="120"/>
        <w:ind w:right="1000"/>
        <w:jc w:val="both"/>
        <w:rPr>
          <w:b/>
          <w:bCs/>
        </w:rPr>
      </w:pPr>
      <w:r w:rsidRPr="00BD7EE4">
        <w:rPr>
          <w:b/>
          <w:bCs/>
        </w:rPr>
        <w:t xml:space="preserve">Antinfiammatoria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Gli acidi boswellici inibiscono: l’attivazione di NF-kB</w:t>
      </w:r>
      <w:r>
        <w:rPr>
          <w:color w:val="FF0000"/>
          <w:vertAlign w:val="superscript"/>
        </w:rPr>
        <w:t>13</w:t>
      </w:r>
      <w:r w:rsidRPr="00BD7EE4">
        <w:t xml:space="preserve"> e STAT proteine</w:t>
      </w:r>
      <w:r>
        <w:rPr>
          <w:color w:val="FF0000"/>
          <w:vertAlign w:val="superscript"/>
        </w:rPr>
        <w:t>14</w:t>
      </w:r>
      <w:r w:rsidRPr="00BD7EE4">
        <w:t xml:space="preserve"> con down regulation di TNF-</w:t>
      </w:r>
      <w:r>
        <w:t>α</w:t>
      </w:r>
      <w:r w:rsidRPr="00BD7EE4">
        <w:t xml:space="preserve"> e riduzione di citochine proinfiammatorie IL-1, IL-2, IL-4, IL-6 e di IFN-</w:t>
      </w:r>
      <w:r>
        <w:t>γ</w:t>
      </w:r>
      <w:r w:rsidRPr="00BD7EE4">
        <w:t>; della 5-lipossigenasi con conseguente ridotta produzione di leucotrieni; selettivamente la cicloossigenasi 1 (COX-1)</w:t>
      </w:r>
      <w:r>
        <w:rPr>
          <w:color w:val="FF0000"/>
          <w:vertAlign w:val="superscript"/>
        </w:rPr>
        <w:t>15</w:t>
      </w:r>
      <w:r w:rsidRPr="00BD7EE4">
        <w:t>, ritenuta la base molecolare dell’attività antinfiammatoria degli acidi boswellici</w:t>
      </w:r>
      <w:r>
        <w:rPr>
          <w:color w:val="FF0000"/>
          <w:vertAlign w:val="superscript"/>
        </w:rPr>
        <w:t>16</w:t>
      </w:r>
      <w:r w:rsidRPr="00BD7EE4">
        <w:t>; la formazione di radicali di ossigeno e di proteasi, quali catepsina G  ed elastasi</w:t>
      </w:r>
      <w:r>
        <w:rPr>
          <w:color w:val="FF0000"/>
          <w:vertAlign w:val="superscript"/>
        </w:rPr>
        <w:t>17</w:t>
      </w:r>
      <w:r w:rsidRPr="00BD7EE4">
        <w:t>; l’espressione di TNF-</w:t>
      </w:r>
      <w:r>
        <w:t>α</w:t>
      </w:r>
      <w:r w:rsidRPr="00BD7EE4">
        <w:t xml:space="preserve"> indotta da metalloproteinasi di matrice (MMPs) e l’attività di MMP-3, MMP-10 e MMP-12</w:t>
      </w:r>
      <w:r>
        <w:rPr>
          <w:color w:val="FF0000"/>
          <w:vertAlign w:val="superscript"/>
        </w:rPr>
        <w:t>18</w:t>
      </w:r>
      <w:r w:rsidRPr="00BD7EE4">
        <w:t xml:space="preserve"> l’attività lipopolisaccaridica</w:t>
      </w:r>
      <w:r>
        <w:rPr>
          <w:color w:val="FF0000"/>
          <w:vertAlign w:val="superscript"/>
        </w:rPr>
        <w:t>19</w:t>
      </w:r>
      <w:r w:rsidRPr="00BD7EE4">
        <w:t>; l’angiogenesi infiammatoria</w:t>
      </w:r>
      <w:r>
        <w:rPr>
          <w:color w:val="FF0000"/>
          <w:vertAlign w:val="superscript"/>
        </w:rPr>
        <w:t>20</w:t>
      </w:r>
      <w:r w:rsidRPr="00BD7EE4">
        <w:t xml:space="preserve"> 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Non sorprendono perciò i positivi effetti degli acidi boswellici in alcune malattie croniche infiammatorie, quali l’artrite reumatoide, l’asma bronchiale, l’osteoartrite, la colite ulcerosa, la malattia di Crohn</w:t>
      </w:r>
      <w:r>
        <w:rPr>
          <w:color w:val="FF0000"/>
          <w:vertAlign w:val="superscript"/>
        </w:rPr>
        <w:t>21</w:t>
      </w:r>
      <w:r w:rsidRPr="00BD7EE4">
        <w:t xml:space="preserve"> e malattie su base immunitaria come la psoriasi</w:t>
      </w:r>
      <w:r>
        <w:rPr>
          <w:color w:val="FF0000"/>
          <w:vertAlign w:val="superscript"/>
        </w:rPr>
        <w:t>22</w:t>
      </w:r>
      <w:r w:rsidRPr="00BD7EE4">
        <w:t xml:space="preserve"> e la fibrosi polmonare indotta da bleomicina</w:t>
      </w:r>
      <w:r>
        <w:rPr>
          <w:color w:val="FF0000"/>
          <w:vertAlign w:val="superscript"/>
        </w:rPr>
        <w:t>23</w:t>
      </w:r>
      <w:r w:rsidRPr="00BD7EE4">
        <w:t>; nella encefalomielite autoimmune sperimentale</w:t>
      </w:r>
      <w:r>
        <w:rPr>
          <w:color w:val="FF0000"/>
          <w:vertAlign w:val="superscript"/>
        </w:rPr>
        <w:t>24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  <w:rPr>
          <w:b/>
          <w:bCs/>
        </w:rPr>
      </w:pPr>
      <w:r w:rsidRPr="00BD7EE4">
        <w:rPr>
          <w:b/>
          <w:bCs/>
        </w:rPr>
        <w:t>Antimicrobica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Gli acidi boswellici agiscono su ceppi di Staphylococcus mutans e Actinomyces viscosus Enterococcus faecalis e faecium, Streptococcus sanguis, Prevotella intermedia, Porphyromonas gingivalis</w:t>
      </w:r>
      <w:r>
        <w:rPr>
          <w:color w:val="FF0000"/>
          <w:vertAlign w:val="superscript"/>
        </w:rPr>
        <w:t>25</w:t>
      </w:r>
      <w:r w:rsidRPr="00BD7EE4">
        <w:t xml:space="preserve"> e Staphylococcus Staphylococcus aureus ed epidermidis probabilmente per distruzione della struttura della membrana microbica</w:t>
      </w:r>
      <w:r>
        <w:rPr>
          <w:color w:val="FF0000"/>
          <w:vertAlign w:val="superscript"/>
        </w:rPr>
        <w:t>26</w:t>
      </w:r>
      <w:r w:rsidRPr="00BD7EE4">
        <w:t xml:space="preserve">. </w:t>
      </w:r>
    </w:p>
    <w:p w:rsidR="00992E37" w:rsidRPr="00BD7EE4" w:rsidRDefault="00992E37" w:rsidP="00992E37">
      <w:pPr>
        <w:spacing w:after="120"/>
        <w:ind w:right="1000"/>
        <w:jc w:val="both"/>
        <w:rPr>
          <w:i/>
          <w:iCs/>
        </w:rPr>
      </w:pPr>
      <w:r w:rsidRPr="00BD7EE4">
        <w:rPr>
          <w:b/>
          <w:bCs/>
        </w:rPr>
        <w:t>Antitumorale</w:t>
      </w:r>
      <w:r w:rsidRPr="00BD7EE4">
        <w:rPr>
          <w:i/>
          <w:iCs/>
        </w:rPr>
        <w:tab/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Recenti studi preclinici hanno dimostrato che gli acidi boswellici hanno un potenziale anticancro contro vari tumori. Inibiscono l’espressione di: fattori di trascrizione di specifiche proteine (Sp) e di numerosi geni regolati da pro-oncogeni Sp in multiple linee cellulari cancerose</w:t>
      </w:r>
      <w:r>
        <w:rPr>
          <w:color w:val="FF0000"/>
          <w:vertAlign w:val="superscript"/>
        </w:rPr>
        <w:t>27</w:t>
      </w:r>
      <w:r w:rsidRPr="00BD7EE4">
        <w:t>; l’espressione di fattori di trascrizione quali Nf-kB e STAT3</w:t>
      </w:r>
      <w:r>
        <w:rPr>
          <w:color w:val="FF0000"/>
          <w:vertAlign w:val="superscript"/>
        </w:rPr>
        <w:t>28</w:t>
      </w:r>
      <w:r w:rsidRPr="00BD7EE4">
        <w:t>; di COX-2, MMP-9, CXCR4, VEGF</w:t>
      </w:r>
      <w:r>
        <w:rPr>
          <w:color w:val="FF0000"/>
          <w:vertAlign w:val="superscript"/>
        </w:rPr>
        <w:t>29</w:t>
      </w:r>
      <w:r w:rsidRPr="00BD7EE4">
        <w:t xml:space="preserve"> e delle topoisomerasi I e II</w:t>
      </w:r>
      <w:r>
        <w:rPr>
          <w:color w:val="FF0000"/>
          <w:vertAlign w:val="superscript"/>
        </w:rPr>
        <w:t>30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Risultati incoraggianti sono stati riscontrati nel tumore della prostata</w:t>
      </w:r>
      <w:r>
        <w:rPr>
          <w:color w:val="FF0000"/>
          <w:vertAlign w:val="superscript"/>
        </w:rPr>
        <w:t>31</w:t>
      </w:r>
      <w:r w:rsidRPr="00BD7EE4">
        <w:t>, nel carcinoma cervicale</w:t>
      </w:r>
      <w:r>
        <w:rPr>
          <w:color w:val="FF0000"/>
          <w:vertAlign w:val="superscript"/>
        </w:rPr>
        <w:t>32</w:t>
      </w:r>
      <w:r w:rsidRPr="00BD7EE4">
        <w:t>, nel cancro colonrettale</w:t>
      </w:r>
      <w:r>
        <w:rPr>
          <w:color w:val="FF0000"/>
          <w:vertAlign w:val="superscript"/>
        </w:rPr>
        <w:t>33</w:t>
      </w:r>
      <w:r w:rsidRPr="00BD7EE4">
        <w:t>, nel tumore sperimentale solido di Ehrlich</w:t>
      </w:r>
      <w:r>
        <w:rPr>
          <w:color w:val="FF0000"/>
          <w:vertAlign w:val="superscript"/>
        </w:rPr>
        <w:t>34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lastRenderedPageBreak/>
        <w:t>Gli acidi boswellici inibiscono la crescita del glioma</w:t>
      </w:r>
      <w:r>
        <w:rPr>
          <w:color w:val="FF0000"/>
          <w:vertAlign w:val="superscript"/>
        </w:rPr>
        <w:t>35</w:t>
      </w:r>
      <w:r w:rsidRPr="00BD7EE4">
        <w:t xml:space="preserve"> riducendo l’edema peritumorale</w:t>
      </w:r>
      <w:r>
        <w:rPr>
          <w:color w:val="FF0000"/>
          <w:vertAlign w:val="superscript"/>
        </w:rPr>
        <w:t>36</w:t>
      </w:r>
      <w:r w:rsidRPr="00BD7EE4">
        <w:t>, e hanno azione citotossica sulle cellule del meningioma</w:t>
      </w:r>
      <w:r>
        <w:rPr>
          <w:color w:val="FF0000"/>
          <w:vertAlign w:val="superscript"/>
        </w:rPr>
        <w:t>37</w:t>
      </w:r>
      <w:r w:rsidRPr="00BD7EE4">
        <w:t xml:space="preserve"> cosicché gli estratti di Boswellia serrata sono stati designati nel 2002 dalla European Medicines Agency come farmaci orfani.</w:t>
      </w:r>
    </w:p>
    <w:p w:rsidR="00992E37" w:rsidRPr="00BD7EE4" w:rsidRDefault="00992E37" w:rsidP="00992E37">
      <w:pPr>
        <w:spacing w:after="120"/>
        <w:ind w:right="1000"/>
        <w:jc w:val="both"/>
        <w:rPr>
          <w:b/>
          <w:bCs/>
        </w:rPr>
      </w:pPr>
      <w:r w:rsidRPr="00BD7EE4">
        <w:rPr>
          <w:b/>
          <w:bCs/>
        </w:rPr>
        <w:t>Neurotrofica e neuroprotettiva</w:t>
      </w:r>
    </w:p>
    <w:p w:rsidR="00992E37" w:rsidRPr="00BD7EE4" w:rsidRDefault="00992E37" w:rsidP="00992E37">
      <w:pPr>
        <w:spacing w:after="120"/>
        <w:ind w:right="1000"/>
        <w:jc w:val="both"/>
      </w:pPr>
      <w:r w:rsidRPr="00BD7EE4">
        <w:t>Gli acidi boswellici proteggono le cellule nervose dagli insulti eccitotossici derivanti da danni ossidativi e da eccessiva stimolazione di recettori glutammatergici</w:t>
      </w:r>
      <w:r>
        <w:rPr>
          <w:color w:val="FF0000"/>
          <w:vertAlign w:val="superscript"/>
        </w:rPr>
        <w:t>38</w:t>
      </w:r>
      <w:r w:rsidRPr="00BD7EE4">
        <w:t xml:space="preserve"> impedendo il danneggiamento della integrità assonale e hanno la capacità di produrre escrescenze e ramificazioni assoniche e di influire sulle dinamiche di polimerizzazione della tubulina:</w:t>
      </w:r>
      <w:r w:rsidRPr="00BD7EE4">
        <w:rPr>
          <w:i/>
          <w:iCs/>
        </w:rPr>
        <w:t xml:space="preserve"> </w:t>
      </w:r>
      <w:r w:rsidRPr="00BD7EE4">
        <w:t>ciò spiega pure l’uso nella medicina tradizionale ayurvedica degli acidi boswellici per prevenire l’amnesia</w:t>
      </w:r>
      <w:r>
        <w:rPr>
          <w:color w:val="FF0000"/>
          <w:vertAlign w:val="superscript"/>
        </w:rPr>
        <w:t>39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</w:pPr>
    </w:p>
    <w:p w:rsidR="00992E37" w:rsidRPr="00BD7EE4" w:rsidRDefault="00992E37" w:rsidP="00992E37">
      <w:pPr>
        <w:spacing w:after="120"/>
        <w:ind w:right="1000"/>
        <w:jc w:val="both"/>
        <w:rPr>
          <w:b/>
          <w:bCs/>
        </w:rPr>
      </w:pPr>
      <w:r w:rsidRPr="00BD7EE4">
        <w:rPr>
          <w:b/>
          <w:bCs/>
        </w:rPr>
        <w:t>Antinocicettiva</w:t>
      </w:r>
    </w:p>
    <w:p w:rsidR="00992E37" w:rsidRDefault="00992E37" w:rsidP="00992E37">
      <w:pPr>
        <w:spacing w:after="120"/>
        <w:ind w:right="1000"/>
        <w:jc w:val="both"/>
      </w:pPr>
      <w:r w:rsidRPr="00BD7EE4">
        <w:t>Gli acidi boswellici potenziano l’azione di farmaci NSAID per l’inibizione della lipossigenasi</w:t>
      </w:r>
      <w:r>
        <w:rPr>
          <w:color w:val="FF0000"/>
          <w:vertAlign w:val="superscript"/>
        </w:rPr>
        <w:t>40</w:t>
      </w:r>
      <w:r w:rsidRPr="00BD7EE4">
        <w:t>. Si ritiene che gli acidi boswellici abbiano lo stesso meccanismo d’azione antinocicettivo, per es. sul dolore viscerale e pelvico, di altri triterpeni, quale l’acido oleanolico, che coinvolge recettori oppioidi endogeni, ossido nitrico e apertura dei canali K(ATP)</w:t>
      </w:r>
      <w:r>
        <w:rPr>
          <w:color w:val="FF0000"/>
          <w:vertAlign w:val="superscript"/>
        </w:rPr>
        <w:t>41</w:t>
      </w:r>
      <w:r w:rsidRPr="00BD7EE4">
        <w:rPr>
          <w:color w:val="FF0000"/>
          <w:vertAlign w:val="superscript"/>
        </w:rPr>
        <w:t xml:space="preserve"> </w:t>
      </w:r>
      <w:r w:rsidRPr="00BD7EE4">
        <w:t>e recettori vanilloidi (TRPV1), come per i triterpeni alfa- e beta-amirina</w:t>
      </w:r>
      <w:r>
        <w:rPr>
          <w:color w:val="FF0000"/>
          <w:vertAlign w:val="superscript"/>
        </w:rPr>
        <w:t>42</w:t>
      </w:r>
      <w:r w:rsidRPr="00BD7EE4">
        <w:t>.</w:t>
      </w:r>
    </w:p>
    <w:p w:rsidR="00992E37" w:rsidRPr="00BD7EE4" w:rsidRDefault="00992E37" w:rsidP="00992E37">
      <w:pPr>
        <w:spacing w:after="120"/>
        <w:ind w:right="1000"/>
        <w:jc w:val="both"/>
      </w:pPr>
    </w:p>
    <w:p w:rsidR="00992E37" w:rsidRPr="00BD7EE4" w:rsidRDefault="00992E37" w:rsidP="00992E37">
      <w:pPr>
        <w:spacing w:after="120"/>
        <w:ind w:right="1000"/>
        <w:jc w:val="both"/>
        <w:rPr>
          <w:b/>
          <w:bCs/>
        </w:rPr>
      </w:pPr>
      <w:r w:rsidRPr="00BD7EE4">
        <w:rPr>
          <w:b/>
          <w:bCs/>
        </w:rPr>
        <w:t>Antidepressiva</w:t>
      </w:r>
    </w:p>
    <w:p w:rsidR="00992E37" w:rsidRPr="00BD7EE4" w:rsidRDefault="00992E37" w:rsidP="00992E37">
      <w:pPr>
        <w:spacing w:after="120"/>
        <w:ind w:right="1000"/>
        <w:jc w:val="both"/>
        <w:rPr>
          <w:color w:val="FF0000"/>
          <w:vertAlign w:val="superscript"/>
        </w:rPr>
      </w:pPr>
      <w:proofErr w:type="gramStart"/>
      <w:r w:rsidRPr="00BD7EE4">
        <w:t>E’</w:t>
      </w:r>
      <w:proofErr w:type="gramEnd"/>
      <w:r w:rsidRPr="00BD7EE4">
        <w:t xml:space="preserve"> probabile che gli acidi boswellici abbiano azione antidepressiva con lo stesso mec</w:t>
      </w:r>
      <w:r>
        <w:t>c</w:t>
      </w:r>
      <w:r w:rsidRPr="00BD7EE4">
        <w:t>anismo d’azione di altri triterpeni che inducono, nel cervello di ratto, una significativa riduzione del livello del corticoster</w:t>
      </w:r>
      <w:r>
        <w:t>o</w:t>
      </w:r>
      <w:r w:rsidRPr="00BD7EE4">
        <w:t>ne serico e un incremento di 5-HT, NE, DA e dei loro metaboliti 5-HIAA, MHPG</w:t>
      </w:r>
      <w:r>
        <w:rPr>
          <w:color w:val="FF0000"/>
          <w:vertAlign w:val="superscript"/>
        </w:rPr>
        <w:t>42</w:t>
      </w:r>
    </w:p>
    <w:p w:rsidR="00992E37" w:rsidRPr="00BD7EE4" w:rsidRDefault="00992E37" w:rsidP="00992E37">
      <w:pPr>
        <w:spacing w:after="120"/>
        <w:ind w:right="1000"/>
        <w:jc w:val="both"/>
      </w:pPr>
    </w:p>
    <w:p w:rsidR="00992E37" w:rsidRPr="00AA022A" w:rsidRDefault="00992E37" w:rsidP="00992E37">
      <w:pPr>
        <w:spacing w:after="120"/>
        <w:ind w:right="1000"/>
        <w:jc w:val="both"/>
        <w:rPr>
          <w:b/>
        </w:rPr>
      </w:pPr>
      <w:r w:rsidRPr="00AA022A">
        <w:rPr>
          <w:b/>
        </w:rPr>
        <w:t>Bibliografia</w:t>
      </w:r>
    </w:p>
    <w:p w:rsidR="00992E37" w:rsidRPr="00AA022A" w:rsidRDefault="00992E37" w:rsidP="00992E37">
      <w:pPr>
        <w:spacing w:after="120"/>
        <w:ind w:right="1000"/>
        <w:jc w:val="both"/>
      </w:pPr>
    </w:p>
    <w:p w:rsidR="00992E37" w:rsidRPr="00AA022A" w:rsidRDefault="00992E37" w:rsidP="00992E37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it-IT"/>
        </w:rPr>
      </w:pPr>
      <w:r w:rsidRPr="00AA022A">
        <w:rPr>
          <w:rFonts w:eastAsia="Times New Roman"/>
          <w:sz w:val="26"/>
          <w:szCs w:val="26"/>
          <w:lang w:eastAsia="it-IT"/>
        </w:rPr>
        <w:t>1. Moussaieff A, Rimmerman N, Bregman T, Straiker</w:t>
      </w:r>
    </w:p>
    <w:p w:rsidR="00992E37" w:rsidRPr="00C266C3" w:rsidRDefault="00992E37" w:rsidP="00992E37">
      <w:pPr>
        <w:autoSpaceDE w:val="0"/>
        <w:autoSpaceDN w:val="0"/>
        <w:adjustRightInd w:val="0"/>
        <w:rPr>
          <w:rFonts w:eastAsia="Times New Roman"/>
          <w:sz w:val="26"/>
          <w:szCs w:val="26"/>
          <w:lang w:val="en-US" w:eastAsia="it-IT"/>
        </w:rPr>
      </w:pPr>
      <w:r w:rsidRPr="00C266C3">
        <w:rPr>
          <w:rFonts w:eastAsia="Times New Roman"/>
          <w:sz w:val="26"/>
          <w:szCs w:val="26"/>
          <w:lang w:val="en-US" w:eastAsia="it-IT"/>
        </w:rPr>
        <w:t>A, Felder CC, Shoham S, Kashman Y, Huang SM, Lee H,</w:t>
      </w:r>
    </w:p>
    <w:p w:rsidR="00992E37" w:rsidRPr="00C266C3" w:rsidRDefault="00992E37" w:rsidP="00992E37">
      <w:pPr>
        <w:autoSpaceDE w:val="0"/>
        <w:autoSpaceDN w:val="0"/>
        <w:adjustRightInd w:val="0"/>
        <w:rPr>
          <w:rFonts w:eastAsia="Times New Roman"/>
          <w:sz w:val="26"/>
          <w:szCs w:val="26"/>
          <w:lang w:val="en-US" w:eastAsia="it-IT"/>
        </w:rPr>
      </w:pPr>
      <w:r w:rsidRPr="00C266C3">
        <w:rPr>
          <w:rFonts w:eastAsia="Times New Roman"/>
          <w:sz w:val="26"/>
          <w:szCs w:val="26"/>
          <w:lang w:val="en-US" w:eastAsia="it-IT"/>
        </w:rPr>
        <w:t>Shohami E, Mackie K, Caterina MJ, Walker JM, Fride</w:t>
      </w:r>
    </w:p>
    <w:p w:rsidR="00992E37" w:rsidRPr="00C266C3" w:rsidRDefault="00992E37" w:rsidP="00992E37">
      <w:pPr>
        <w:autoSpaceDE w:val="0"/>
        <w:autoSpaceDN w:val="0"/>
        <w:adjustRightInd w:val="0"/>
        <w:rPr>
          <w:rFonts w:eastAsia="Times New Roman"/>
          <w:sz w:val="26"/>
          <w:szCs w:val="26"/>
          <w:lang w:val="en-US" w:eastAsia="it-IT"/>
        </w:rPr>
      </w:pPr>
      <w:r w:rsidRPr="00C266C3">
        <w:rPr>
          <w:rFonts w:eastAsia="Times New Roman"/>
          <w:sz w:val="26"/>
          <w:szCs w:val="26"/>
          <w:lang w:val="en-US" w:eastAsia="it-IT"/>
        </w:rPr>
        <w:t>E, and Mechoulam R. Incensole acetate, an incense</w:t>
      </w:r>
    </w:p>
    <w:p w:rsidR="00992E37" w:rsidRPr="00C266C3" w:rsidRDefault="00992E37" w:rsidP="00992E37">
      <w:pPr>
        <w:autoSpaceDE w:val="0"/>
        <w:autoSpaceDN w:val="0"/>
        <w:adjustRightInd w:val="0"/>
        <w:rPr>
          <w:rFonts w:eastAsia="Times New Roman"/>
          <w:sz w:val="26"/>
          <w:szCs w:val="26"/>
          <w:lang w:val="en-US" w:eastAsia="it-IT"/>
        </w:rPr>
      </w:pPr>
      <w:r w:rsidRPr="00C266C3">
        <w:rPr>
          <w:rFonts w:eastAsia="Times New Roman"/>
          <w:sz w:val="26"/>
          <w:szCs w:val="26"/>
          <w:lang w:val="en-US" w:eastAsia="it-IT"/>
        </w:rPr>
        <w:t>component, elicits psychoactivity by activating</w:t>
      </w:r>
    </w:p>
    <w:p w:rsidR="00992E37" w:rsidRPr="00C266C3" w:rsidRDefault="00992E37" w:rsidP="00992E37">
      <w:pPr>
        <w:autoSpaceDE w:val="0"/>
        <w:autoSpaceDN w:val="0"/>
        <w:adjustRightInd w:val="0"/>
        <w:rPr>
          <w:rFonts w:eastAsia="Times New Roman"/>
          <w:sz w:val="26"/>
          <w:szCs w:val="26"/>
          <w:lang w:val="en-US" w:eastAsia="it-IT"/>
        </w:rPr>
      </w:pPr>
      <w:r w:rsidRPr="00C266C3">
        <w:rPr>
          <w:rFonts w:eastAsia="Times New Roman"/>
          <w:sz w:val="26"/>
          <w:szCs w:val="26"/>
          <w:lang w:val="en-US" w:eastAsia="it-IT"/>
        </w:rPr>
        <w:t>TRP3 channels in the brain. FASEB J. 2008; 22:</w:t>
      </w:r>
    </w:p>
    <w:p w:rsidR="00992E37" w:rsidRPr="00992E37" w:rsidRDefault="00992E37" w:rsidP="00992E37">
      <w:pPr>
        <w:spacing w:after="120"/>
        <w:ind w:right="1000"/>
        <w:jc w:val="both"/>
        <w:rPr>
          <w:lang w:val="en-US"/>
        </w:rPr>
      </w:pPr>
      <w:r w:rsidRPr="00C266C3">
        <w:rPr>
          <w:rFonts w:eastAsia="Times New Roman"/>
          <w:sz w:val="26"/>
          <w:szCs w:val="26"/>
          <w:lang w:val="en-US" w:eastAsia="it-IT"/>
        </w:rPr>
        <w:t>3024-34.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2. Sharma R, Singh S, Singh GD, Khajuria A, Sidiq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T, Singh SK, Chashoo G, Pagoch SS, Kaul A, Saxena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AK, Johri RK, Taneja Sc. In vivo genotoxicity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evaluation of a plant based antiarthritic and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anticancer therapeutic agent Boswellic acids in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rodents. Phytomedicine. 2009; 16(12): 1112-8.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 Lalithakumari K, Krishnaraju AV, Sengupta K,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Subbaraju GV, Chatterjee A. Safety and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toxicological evaluation of a novel, standardized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3-0-acetyl-11-keto-beta-boswellic acid (AKBA)-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enriched Boswellia serrata extract (5-</w:t>
      </w:r>
      <w:proofErr w:type="gramStart"/>
      <w:r>
        <w:rPr>
          <w:sz w:val="26"/>
          <w:szCs w:val="26"/>
          <w:lang w:val="en-US"/>
        </w:rPr>
        <w:t>Loxin .</w:t>
      </w:r>
      <w:proofErr w:type="gramEnd"/>
      <w:r>
        <w:rPr>
          <w:sz w:val="26"/>
          <w:szCs w:val="26"/>
          <w:lang w:val="en-US"/>
        </w:rPr>
        <w:t>).</w:t>
      </w:r>
    </w:p>
    <w:p w:rsidR="00992E37" w:rsidRPr="00BD7EE4" w:rsidRDefault="00992E37" w:rsidP="00992E37">
      <w:p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Toxicol Mech Methods. </w:t>
      </w:r>
      <w:r w:rsidRPr="00BD7EE4">
        <w:rPr>
          <w:sz w:val="26"/>
          <w:szCs w:val="26"/>
        </w:rPr>
        <w:t>2006; 16(4): 199-226.</w:t>
      </w:r>
    </w:p>
    <w:p w:rsidR="00992E37" w:rsidRPr="00BD7EE4" w:rsidRDefault="00992E37" w:rsidP="00992E37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BD7EE4">
        <w:rPr>
          <w:sz w:val="26"/>
          <w:szCs w:val="26"/>
        </w:rPr>
        <w:t>. Wang C, Xia L, Song Z, Li Q, Wang C, Zeng L,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Liu Z. Determination of five boswellic acids in</w:t>
      </w:r>
    </w:p>
    <w:p w:rsidR="00992E37" w:rsidRPr="00BD7EE4" w:rsidRDefault="00992E37" w:rsidP="00992E37">
      <w:pPr>
        <w:rPr>
          <w:sz w:val="26"/>
          <w:szCs w:val="26"/>
        </w:rPr>
      </w:pPr>
      <w:r w:rsidRPr="00BD7EE4">
        <w:rPr>
          <w:sz w:val="26"/>
          <w:szCs w:val="26"/>
        </w:rPr>
        <w:t>Boswellia serrata. Zhongguo Zhong Yao Za Zhi. 2011;</w:t>
      </w:r>
    </w:p>
    <w:p w:rsidR="00992E37" w:rsidRPr="00BD7EE4" w:rsidRDefault="00992E37" w:rsidP="00992E37">
      <w:pPr>
        <w:rPr>
          <w:sz w:val="26"/>
          <w:szCs w:val="26"/>
        </w:rPr>
      </w:pPr>
      <w:r w:rsidRPr="00BD7EE4">
        <w:rPr>
          <w:sz w:val="26"/>
          <w:szCs w:val="26"/>
        </w:rPr>
        <w:t>36(10): 1330-3.</w:t>
      </w:r>
    </w:p>
    <w:p w:rsidR="00992E37" w:rsidRPr="00BD7EE4" w:rsidRDefault="00992E37" w:rsidP="00992E37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BD7EE4">
        <w:rPr>
          <w:sz w:val="26"/>
          <w:szCs w:val="26"/>
        </w:rPr>
        <w:t>. Sharma S, Thawani V, Hingorani L, Shrivastava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M, Bhate VR, Khiyani R. Pharmacokinetic steady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11-keto-beta boswellic acid. Phytomedicine. 2004;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11(2-3): 255-60.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Krüger P, Daneshfar R, Eckert GP, Klein J,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Volmer DA, Bahr U, Müller WE, Karas M, Schubert-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Zsilavecz M, and Abdel-Tawab M. Metabolism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boswellic acids in vitro and in vivo. Drug Metab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Dispos. 2008; 36(6): 1135-42.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 Weber CC, Reising K, Müller WE, Schubert-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Zsilavecz M, and Abdel-Tawab M. Modulation of Pgp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function by boswellic acids. Planta Med. 2006;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72(6): 507-13.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 Krüger P, Kanzer J, Hummel J, Fricker G,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Schubert-Zsilavecz M, Abdel-Tawab M. Permeation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Boswellia extract in the Caco-2 model and possible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interactions of its constituents KBA and AKBA with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OATP1B3 and MRP2. Eur J Pharm Sci. 2009; 36 (2-3):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275-84.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9. Sharma A, Gupta NK, Dixit VK. Complexation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with phosphatidyl choline as a strategy for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absorption enhancement of boswellic acid. Drug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Deliv. 2010; 17(8): 587-95.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Sterk V, Büchele B, Simmet T. Effect of food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intake on the bioavailability of boswellic acids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from </w:t>
      </w: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 xml:space="preserve"> herbal preparation in healthy volunteers.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Planta Med. 2004; 70(12): 1155-60.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11. Johnston M, Zakharov A, Armstrong D.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Subarachnoid injection of Microfil reveals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connections between cerebrospinal fluid and nasal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lynphatics in the non-human primate. Neuropahol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Appl Neurobiol. 2005; 31(6): 632-40.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12. Ammon HP. Modulation of the immune system by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Boswellia serrata extracts and boswellic acids.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Phytomedicine. 2010; 17(11): 862-7.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13. Kumar A, Shah BA, Singh S, Hamid A, Singh SK,</w:t>
      </w:r>
    </w:p>
    <w:p w:rsidR="00992E37" w:rsidRDefault="00992E37" w:rsidP="00992E37">
      <w:pPr>
        <w:rPr>
          <w:sz w:val="26"/>
          <w:szCs w:val="26"/>
          <w:lang w:val="en-US"/>
        </w:rPr>
      </w:pPr>
      <w:r w:rsidRPr="00992E37">
        <w:rPr>
          <w:sz w:val="26"/>
          <w:szCs w:val="26"/>
          <w:lang w:val="en-US"/>
        </w:rPr>
        <w:t xml:space="preserve">Sethi VK, Saxena AK, Singh J, Taneja SC. </w:t>
      </w:r>
      <w:r>
        <w:rPr>
          <w:sz w:val="26"/>
          <w:szCs w:val="26"/>
          <w:lang w:val="en-US"/>
        </w:rPr>
        <w:t>Acyl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derivatives of boswellic acid sas inhibiors of NFkB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and STATs. Bioorg Med Chem Lett. 2012; 22(1):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431-5.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14. Cao H, Yu R, Choi Y, Ma ZZ, Zhang H, Xiang W,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Lee DYW, Berman BM, Moudgil KD, Fong HHS, and van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Breemen RB. Discovery of cyclooxigenase inhibitors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from medicinal plants used to treat inflammation.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Phamacol Res. 2010; 61(6): 519-24.</w:t>
      </w:r>
    </w:p>
    <w:p w:rsidR="00992E37" w:rsidRPr="00AA022A" w:rsidRDefault="00992E37" w:rsidP="00992E37">
      <w:pPr>
        <w:rPr>
          <w:sz w:val="26"/>
          <w:szCs w:val="26"/>
          <w:lang w:val="en-US"/>
        </w:rPr>
      </w:pPr>
      <w:r w:rsidRPr="00AA022A">
        <w:rPr>
          <w:sz w:val="26"/>
          <w:szCs w:val="26"/>
          <w:lang w:val="en-US"/>
        </w:rPr>
        <w:lastRenderedPageBreak/>
        <w:t>15. Siemoneit U, Koeberle A, Rossi A, Dehm F,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Verhoff M, Reckel S, Majer TJ, Jauch J, Northoff H,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Bernhard F, Doetsch V, Sautebin L and Werz O.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Inhibition of microsomal prostaglandin E2 syntase-1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as a molecular basis for the anti-inflammatory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actions ob boswellic acids from frankincense.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British Journal of Pharmacology. 2011; 162: 147-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162.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16. Tausch L, Henkel A, Siemoneit U, Poeckel D,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Kather N, Franke L, Hofmann B, Schneider G, Angioni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C, Geisslinger G, Skarke C, Holtmeier W, Beckhaus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T, Karas M, Jauch J, Werz O. Identification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human cathepsin G as a functional target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boswellic acids from the anti-inflammatory remedy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frankincense. J Immunol. 2009; 183(5): 3433-42.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17. Roy S, Khanna S, Krishanaraju AV, Subbaraju GV,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Yasmin T, Bagchi D, Sen CK. Regulation of vascular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responses to inflammation: inducible matrix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metalloproinase-3 expression in human microvascular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endothelial cells </w:t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sensitive to antiinflammatory</w:t>
      </w:r>
    </w:p>
    <w:p w:rsidR="00992E37" w:rsidRPr="00992E37" w:rsidRDefault="00992E37" w:rsidP="00992E37">
      <w:pPr>
        <w:rPr>
          <w:sz w:val="26"/>
          <w:szCs w:val="26"/>
          <w:lang w:val="en-US"/>
        </w:rPr>
      </w:pPr>
      <w:r w:rsidRPr="00992E37">
        <w:rPr>
          <w:sz w:val="26"/>
          <w:szCs w:val="26"/>
          <w:lang w:val="en-US"/>
        </w:rPr>
        <w:t>Boswellia. Antioxid Redox Signal. 2006; 8(3-4):</w:t>
      </w:r>
    </w:p>
    <w:p w:rsidR="00992E37" w:rsidRPr="00992E37" w:rsidRDefault="00992E37" w:rsidP="00992E37">
      <w:pPr>
        <w:rPr>
          <w:sz w:val="26"/>
          <w:szCs w:val="26"/>
          <w:lang w:val="en-US"/>
        </w:rPr>
      </w:pPr>
      <w:r w:rsidRPr="00992E37">
        <w:rPr>
          <w:sz w:val="26"/>
          <w:szCs w:val="26"/>
          <w:lang w:val="en-US"/>
        </w:rPr>
        <w:t>653-60.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18. Henkel A, Kather N, M.nch B, Northoff H, Jauch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J, Werz O. Boswellic acids from frankincense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inhibit lipopolysaccharide functionality through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direct mulecular interference. Biochem Pharmacol.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2012 83(1): 115-21.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19. Saraswati S, Pandey M, Mathur R, Agrawal SS.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Boswellic acid inhibits inflammatory angiogenesis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 a murine sponge model. Microvasc Res. 2011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82(3): 263-8.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20. Ammon HP. Modulation of the immune system by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Boswellia serrata extracts and boswellic acids.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Phytomedicine. 2010; 17(11): 862-7.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21. Wang H, Syrovets T, Kess D, Büchele B, Hainzl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H, Lunov O, Weiss JM, Scharffetter-Kochanek K, and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Simmet T. Targeting NF-kB with a natural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triterpenoid alleviates skin inflammation in 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mouse model of psoriasis. J Immunol. 2009; 183(7):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4755-63.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22. Ali EN and M ansour SZ. Boswellic acids extract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attenuates pulmonary fibrosis induced by beleomycin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and oxidative stress from gamma irradiation in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rats. Chinese Medicine. 2011; 6: 36-50.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23. Wildfeuer A, Neu IS, Safayhi H, Metzger G,</w:t>
      </w:r>
    </w:p>
    <w:p w:rsidR="00992E37" w:rsidRP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Wehrmann M, Vogel U, Ammon HP. </w:t>
      </w:r>
      <w:r w:rsidRPr="00992E37">
        <w:rPr>
          <w:sz w:val="26"/>
          <w:szCs w:val="26"/>
          <w:lang w:val="en-US"/>
        </w:rPr>
        <w:t>Effects of boswellic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acids extracted from </w:t>
      </w: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 xml:space="preserve"> herbal medicine on the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biosyntesis of leukotrienes and the course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experimental autoimmune encephalomyelitis.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Arzneimittelforschung. 1998; 48(6): 668-74.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24. Raja AF, Ali F, Khan IA, Shawl AS and Arora DS.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Acetyl-11-keto-</w:t>
      </w:r>
      <w:r>
        <w:rPr>
          <w:sz w:val="26"/>
          <w:szCs w:val="26"/>
        </w:rPr>
        <w:t>β</w:t>
      </w:r>
      <w:r>
        <w:rPr>
          <w:sz w:val="26"/>
          <w:szCs w:val="26"/>
          <w:lang w:val="en-US"/>
        </w:rPr>
        <w:t>-boswellic acid (AKBA); targeting</w:t>
      </w:r>
    </w:p>
    <w:p w:rsidR="00992E37" w:rsidRP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oral cavity pathogens. BMC Research Notes. </w:t>
      </w:r>
      <w:r w:rsidRPr="00992E37">
        <w:rPr>
          <w:sz w:val="26"/>
          <w:szCs w:val="26"/>
          <w:lang w:val="en-US"/>
        </w:rPr>
        <w:t>2011, 4:</w:t>
      </w:r>
    </w:p>
    <w:p w:rsidR="00992E37" w:rsidRPr="00992E37" w:rsidRDefault="00992E37" w:rsidP="00992E37">
      <w:pPr>
        <w:rPr>
          <w:sz w:val="26"/>
          <w:szCs w:val="26"/>
          <w:lang w:val="en-US"/>
        </w:rPr>
      </w:pPr>
      <w:r w:rsidRPr="00992E37">
        <w:rPr>
          <w:sz w:val="26"/>
          <w:szCs w:val="26"/>
          <w:lang w:val="en-US"/>
        </w:rPr>
        <w:t>406.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25. Raja AF, Al. F, Khan IA, Shawl A, Arora </w:t>
      </w:r>
      <w:proofErr w:type="gramStart"/>
      <w:r>
        <w:rPr>
          <w:sz w:val="26"/>
          <w:szCs w:val="26"/>
          <w:lang w:val="en-US"/>
        </w:rPr>
        <w:t>DS,hah</w:t>
      </w:r>
      <w:proofErr w:type="gramEnd"/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BA, Taneja SC. Antistaphylococcal and biofilm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inhibitory activities of acetyl-11-keto-</w:t>
      </w:r>
      <w:r>
        <w:rPr>
          <w:sz w:val="26"/>
          <w:szCs w:val="26"/>
        </w:rPr>
        <w:t>β</w:t>
      </w:r>
      <w:r>
        <w:rPr>
          <w:sz w:val="26"/>
          <w:szCs w:val="26"/>
          <w:lang w:val="en-US"/>
        </w:rPr>
        <w:t>-boswellic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acid from Boswellia serrata. BMC Microbiology.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2011; 11: 54-62.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26. Safe SH, Prather PL, Brents LK, Chadalapaka G,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Jutooru I. Unifying mechanism of action of the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anticancer activities of triterpenoids and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synthetic analogs. Anticancer Agents Med Chem.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2012; May 2.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27. Yadav VR, Prasad S, Sung B, Kanappan R, and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Ahggarwal BB. Targeting inflammatory pathwais by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triterpenoids for prevention and treatment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cancer. Toxins (Basel). 2010; 2(10): 2428-66.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28. Park B, Prasad S, Yadav V, Sung B, Aggarwal BB.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Boswellic acid suppresses growth and metastasis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human pancreatic tumors in an orthotopic nude mouse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model through modulation of multiple targets. PLOS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one. 2011; 6(10): e26943.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29. Chashoo G, Singh SK, Sharma PR, Mondhe DM,</w:t>
      </w:r>
    </w:p>
    <w:p w:rsidR="00992E37" w:rsidRPr="00BD7EE4" w:rsidRDefault="00992E37" w:rsidP="00992E37">
      <w:pPr>
        <w:rPr>
          <w:sz w:val="26"/>
          <w:szCs w:val="26"/>
        </w:rPr>
      </w:pPr>
      <w:r w:rsidRPr="00BD7EE4">
        <w:rPr>
          <w:sz w:val="26"/>
          <w:szCs w:val="26"/>
        </w:rPr>
        <w:t>Hamid A, Saxena A, Andotra SS, Shah BA, Qazi NA,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Taneja SC, Saxena AK. A propylloxy derivative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11-keto-</w:t>
      </w:r>
      <w:r>
        <w:rPr>
          <w:sz w:val="26"/>
          <w:szCs w:val="26"/>
        </w:rPr>
        <w:t>β</w:t>
      </w:r>
      <w:r>
        <w:rPr>
          <w:sz w:val="26"/>
          <w:szCs w:val="26"/>
          <w:lang w:val="en-US"/>
        </w:rPr>
        <w:t>-boswellic acid induces apoptosis in HL-60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cells mediated through topisomerase I &amp; II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inhibition. Chem Biol Interact. 2011; 189(1-2): 60-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71.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30. Sankpal UT, Goodison S, Abdelrahim M, Basha R.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Targeting Sp1 transcription factors in prostate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cancer therapy. Med Chem. 2011; 7(5): 518-25.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31. Bhushan S, Malik F, Kumar A, Isher HK, Kaur IP,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Taneja SC, Singh J. Activation of p53/p21/PUMA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alliance and disruption of PI-3/Akt in multimodal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targeting of apoptoic signaling cascades in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cervical cancer cells by a pentacyclic</w:t>
      </w:r>
    </w:p>
    <w:p w:rsidR="00992E37" w:rsidRPr="00BD7EE4" w:rsidRDefault="00992E37" w:rsidP="00992E37">
      <w:pPr>
        <w:rPr>
          <w:sz w:val="26"/>
          <w:szCs w:val="26"/>
        </w:rPr>
      </w:pPr>
      <w:r w:rsidRPr="00BD7EE4">
        <w:rPr>
          <w:sz w:val="26"/>
          <w:szCs w:val="26"/>
        </w:rPr>
        <w:t>triterpenediol from Boswellia serrata. Mol</w:t>
      </w:r>
    </w:p>
    <w:p w:rsidR="00992E37" w:rsidRDefault="00992E37" w:rsidP="00992E37">
      <w:pPr>
        <w:rPr>
          <w:sz w:val="26"/>
          <w:szCs w:val="26"/>
          <w:lang w:val="en-US"/>
        </w:rPr>
      </w:pPr>
      <w:r w:rsidRPr="00BD7EE4">
        <w:rPr>
          <w:sz w:val="26"/>
          <w:szCs w:val="26"/>
        </w:rPr>
        <w:t xml:space="preserve">Carcinog. </w:t>
      </w:r>
      <w:r>
        <w:rPr>
          <w:sz w:val="26"/>
          <w:szCs w:val="26"/>
          <w:lang w:val="en-US"/>
        </w:rPr>
        <w:t>2009; 48(12): 1093-108.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32. Shen Y, Takahashi M, Byun HM, Link A, Shama N,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Balaguer F, Leung HC, Boland R, Goel A. Boswellic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acid induces epigenetic alterations by modulating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DNA methylation in colorectal cancer cells. Cancer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Biol Ther. 2012; 13(7): 542-52.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33. Agrawal SS, Saraswati S, Mathur R, Pandey M.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Antitumor properties of boswellic acid against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Ehrlich ascites cells bearing mouse. Food Chem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Toxicol. 2011; 49(9): 1924-34.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34. Winking M, Sarikaya S, Rahmanian A, </w:t>
      </w:r>
      <w:proofErr w:type="gramStart"/>
      <w:r>
        <w:rPr>
          <w:sz w:val="26"/>
          <w:szCs w:val="26"/>
          <w:lang w:val="en-US"/>
        </w:rPr>
        <w:t>J.dicke</w:t>
      </w:r>
      <w:proofErr w:type="gramEnd"/>
      <w:r>
        <w:rPr>
          <w:sz w:val="26"/>
          <w:szCs w:val="26"/>
          <w:lang w:val="en-US"/>
        </w:rPr>
        <w:t xml:space="preserve"> A,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B.ker DK. Boswellic acids inhibit glioma growth: 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new treatment option? J Neurooncol. 2000; 46(2):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97-103.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35. Kirste S, Treier M, Wehrle SJ, Becker G, Abdel-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Tawab M, Gerbeth K, Hug MJ, Lubrich B, Grosu AL,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Momm F. Boswellia serrata acts on cerebral edema in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patients irradiated for brain tumors: 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prospective, randomized, placebo-controlled,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double-blind pilot trial. Cancer. 2011; 117(16):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3788-95.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36. Park YS, Lee JH</w:t>
      </w:r>
      <w:proofErr w:type="gramStart"/>
      <w:r>
        <w:rPr>
          <w:sz w:val="26"/>
          <w:szCs w:val="26"/>
          <w:lang w:val="en-US"/>
        </w:rPr>
        <w:t>, ,Bondar</w:t>
      </w:r>
      <w:proofErr w:type="gramEnd"/>
      <w:r>
        <w:rPr>
          <w:sz w:val="26"/>
          <w:szCs w:val="26"/>
          <w:lang w:val="en-US"/>
        </w:rPr>
        <w:t xml:space="preserve"> J, Harwalkar JA,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Safayhi H, Golubic M. Cytoxic action of acetyl-11-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keto-beta-boswellic acid (AKBA) on meningioma</w:t>
      </w:r>
    </w:p>
    <w:p w:rsidR="00992E37" w:rsidRPr="00BD7EE4" w:rsidRDefault="00992E37" w:rsidP="00992E37">
      <w:pPr>
        <w:rPr>
          <w:sz w:val="26"/>
          <w:szCs w:val="26"/>
        </w:rPr>
      </w:pPr>
      <w:r w:rsidRPr="00BD7EE4">
        <w:rPr>
          <w:sz w:val="26"/>
          <w:szCs w:val="26"/>
        </w:rPr>
        <w:t>cells. Planta Med. 2002; 68(5): 397-401.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</w:rPr>
        <w:t>37</w:t>
      </w:r>
      <w:r w:rsidRPr="00BD7EE4">
        <w:rPr>
          <w:sz w:val="26"/>
          <w:szCs w:val="26"/>
        </w:rPr>
        <w:t xml:space="preserve">. Karima O, Riazi G, Yousefi R, Moyahedi AA. </w:t>
      </w:r>
      <w:r>
        <w:rPr>
          <w:sz w:val="26"/>
          <w:szCs w:val="26"/>
          <w:lang w:val="en-US"/>
        </w:rPr>
        <w:t>The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enhancement effect of beta-boswellic acid on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hippocampal neurites outgrowth and branching (an in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vitro study). Neurol Sci. 2010; 31(3): 315-20.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38. Bishnoi M, Patil CS, Kumar A, Kulkarni SK. Coadministration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of acetyl-11-keto-beta-boswellic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acid, a specific 5-lipoxygenase inhibitor,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potentiates the protective effect of COX-2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inhibitors in kainic acid-induced neurotoxicity in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mice. Pharmacology. 2007; 79(1): 34-41.</w:t>
      </w:r>
    </w:p>
    <w:p w:rsidR="00992E37" w:rsidRPr="00AA022A" w:rsidRDefault="00992E37" w:rsidP="00992E37">
      <w:pPr>
        <w:rPr>
          <w:sz w:val="26"/>
          <w:szCs w:val="26"/>
          <w:lang w:val="en-US"/>
        </w:rPr>
      </w:pPr>
      <w:r w:rsidRPr="00AA022A">
        <w:rPr>
          <w:sz w:val="26"/>
          <w:szCs w:val="26"/>
          <w:lang w:val="en-US"/>
        </w:rPr>
        <w:t>39. Bishnoi M, Patil CS, Kumar A, Kultarni SK.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Potentiation of antinociceptive effect of NSAIDs by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specific lipoxygenase inhibitor, acetyl 11-ketobeta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boswellic acid. Indian J Exp Biol. 2006;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44(2): 128-32.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40. Maia JL, Lima-</w:t>
      </w:r>
      <w:proofErr w:type="gramStart"/>
      <w:r>
        <w:rPr>
          <w:sz w:val="26"/>
          <w:szCs w:val="26"/>
          <w:lang w:val="en-US"/>
        </w:rPr>
        <w:t>J.nior</w:t>
      </w:r>
      <w:proofErr w:type="gramEnd"/>
      <w:r>
        <w:rPr>
          <w:sz w:val="26"/>
          <w:szCs w:val="26"/>
          <w:lang w:val="en-US"/>
        </w:rPr>
        <w:t xml:space="preserve"> RC, Melo CM, David JP,</w:t>
      </w:r>
    </w:p>
    <w:p w:rsidR="00992E37" w:rsidRPr="00992E37" w:rsidRDefault="00992E37" w:rsidP="00992E37">
      <w:pPr>
        <w:rPr>
          <w:sz w:val="26"/>
          <w:szCs w:val="26"/>
          <w:lang w:val="en-US"/>
        </w:rPr>
      </w:pPr>
      <w:r w:rsidRPr="00992E37">
        <w:rPr>
          <w:sz w:val="26"/>
          <w:szCs w:val="26"/>
          <w:lang w:val="en-US"/>
        </w:rPr>
        <w:t>David JM, Campos AR, Santos FA, Rao VS. Oleanolic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acid, a pentacyclic triterpene attenuates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capsaicin-induced nociception in mice: possible</w:t>
      </w:r>
    </w:p>
    <w:p w:rsidR="00992E37" w:rsidRPr="00BD7EE4" w:rsidRDefault="00992E37" w:rsidP="00992E37">
      <w:pPr>
        <w:rPr>
          <w:sz w:val="26"/>
          <w:szCs w:val="26"/>
        </w:rPr>
      </w:pPr>
      <w:r w:rsidRPr="00BD7EE4">
        <w:rPr>
          <w:sz w:val="26"/>
          <w:szCs w:val="26"/>
        </w:rPr>
        <w:t>mechanisms. Pharmacol Res. 2006; 54(4): 282-6.</w:t>
      </w:r>
    </w:p>
    <w:p w:rsidR="00992E37" w:rsidRPr="00BD7EE4" w:rsidRDefault="00992E37" w:rsidP="00992E37">
      <w:pPr>
        <w:rPr>
          <w:sz w:val="26"/>
          <w:szCs w:val="26"/>
        </w:rPr>
      </w:pPr>
      <w:r>
        <w:rPr>
          <w:sz w:val="26"/>
          <w:szCs w:val="26"/>
        </w:rPr>
        <w:t>41</w:t>
      </w:r>
      <w:r w:rsidRPr="00BD7EE4">
        <w:rPr>
          <w:sz w:val="26"/>
          <w:szCs w:val="26"/>
        </w:rPr>
        <w:t>. Lima-J.nior RC, Oliveira FA, Gungel LA,</w:t>
      </w:r>
    </w:p>
    <w:p w:rsidR="00992E37" w:rsidRPr="00BD7EE4" w:rsidRDefault="00992E37" w:rsidP="00992E37">
      <w:pPr>
        <w:rPr>
          <w:sz w:val="26"/>
          <w:szCs w:val="26"/>
        </w:rPr>
      </w:pPr>
      <w:r w:rsidRPr="00BD7EE4">
        <w:rPr>
          <w:sz w:val="26"/>
          <w:szCs w:val="26"/>
        </w:rPr>
        <w:t>Cavalcante IJ, Santos KA, Campos DA, Vale CA, Silva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RM, Chaves MH, Rao VS, Santos FA. Attenuation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visceral nociception by alpha- and beta-amyrin, 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triterpenoid mixture isolated from the resin of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Proium heptaphyllum, in mice. Planta Med. 2006;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72(1): 34-9.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42. Chen Y, Han T, Rui Y, Yin M, Qin L, Zheng H.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Effects of total triterpenes of Centella asiatica</w:t>
      </w:r>
    </w:p>
    <w:p w:rsidR="00992E37" w:rsidRDefault="00992E37" w:rsidP="00992E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on the corticosterone levels in serum and contents</w:t>
      </w:r>
    </w:p>
    <w:p w:rsidR="00992E37" w:rsidRPr="00BD7EE4" w:rsidRDefault="00992E37" w:rsidP="00992E37">
      <w:p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of monoamine in depression rat brain. </w:t>
      </w:r>
      <w:r w:rsidRPr="00BD7EE4">
        <w:rPr>
          <w:sz w:val="26"/>
          <w:szCs w:val="26"/>
        </w:rPr>
        <w:t>Zhong Yao</w:t>
      </w:r>
    </w:p>
    <w:p w:rsidR="00992E37" w:rsidRDefault="00992E37" w:rsidP="00992E37">
      <w:pPr>
        <w:spacing w:after="120"/>
        <w:ind w:right="1000"/>
        <w:jc w:val="both"/>
        <w:rPr>
          <w:sz w:val="26"/>
          <w:szCs w:val="26"/>
        </w:rPr>
      </w:pPr>
      <w:r w:rsidRPr="00BD7EE4">
        <w:rPr>
          <w:sz w:val="26"/>
          <w:szCs w:val="26"/>
        </w:rPr>
        <w:t>Cai. 2005; 28(6): 492-6.</w:t>
      </w:r>
    </w:p>
    <w:p w:rsidR="00992E37" w:rsidRPr="00A757CD" w:rsidRDefault="00992E37" w:rsidP="00992E37">
      <w:pPr>
        <w:pStyle w:val="Paragrafoelenco"/>
        <w:spacing w:line="360" w:lineRule="auto"/>
        <w:ind w:left="786"/>
        <w:jc w:val="both"/>
        <w:rPr>
          <w:rFonts w:ascii="Times New Roman" w:hAnsi="Times New Roman"/>
          <w:sz w:val="24"/>
        </w:rPr>
      </w:pPr>
    </w:p>
    <w:p w:rsidR="004F785C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Obiettivi del progetto di ricerca</w:t>
      </w:r>
      <w:r>
        <w:rPr>
          <w:rFonts w:ascii="Times New Roman" w:hAnsi="Times New Roman"/>
          <w:sz w:val="24"/>
        </w:rPr>
        <w:t>;</w:t>
      </w:r>
    </w:p>
    <w:p w:rsidR="00992E37" w:rsidRPr="00BD7EE4" w:rsidRDefault="00992E37" w:rsidP="00992E37">
      <w:pPr>
        <w:jc w:val="both"/>
      </w:pPr>
      <w:r w:rsidRPr="00BD7EE4">
        <w:t>Si ipotizza che aumentati livelli di proteina beta amiloide (Aß) inneschino un processo depressivo indipendentemente da età e sviluppo di malattia di Alzheimer. I nostri dati preclinici indicano un possibile link tra elevati livelli di Aß solubile e depressione</w:t>
      </w:r>
      <w:r>
        <w:t>;</w:t>
      </w:r>
      <w:r w:rsidRPr="00BD7EE4">
        <w:t xml:space="preserve"> infatti, si è evidenziato un effetto depressogeno di Aß nel test del nuoto forzato –FST assieme a ridotti livelli tissutali di serotonina, brain derived neurotrophic factor e nerve growth factor (BDNF e NGF) in corteccia prefrontale, area cruciale nella patogenesi della depressione (vedi figura). </w:t>
      </w:r>
    </w:p>
    <w:p w:rsidR="00992E37" w:rsidRDefault="00992E37" w:rsidP="00992E37">
      <w:pPr>
        <w:jc w:val="center"/>
      </w:pPr>
      <w:r>
        <w:rPr>
          <w:noProof/>
        </w:rPr>
        <w:drawing>
          <wp:inline distT="0" distB="0" distL="0" distR="0" wp14:anchorId="7C906884" wp14:editId="4B068ECE">
            <wp:extent cx="1805940" cy="119634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96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A1629B" wp14:editId="2B50B21F">
            <wp:extent cx="1885315" cy="109474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37" w:rsidRDefault="00992E37" w:rsidP="00992E37">
      <w:pPr>
        <w:jc w:val="both"/>
      </w:pPr>
    </w:p>
    <w:p w:rsidR="00992E37" w:rsidRDefault="00992E37" w:rsidP="00992E37">
      <w:pPr>
        <w:jc w:val="center"/>
      </w:pPr>
      <w:r>
        <w:rPr>
          <w:noProof/>
        </w:rPr>
        <w:drawing>
          <wp:inline distT="0" distB="0" distL="0" distR="0" wp14:anchorId="51CE129F" wp14:editId="69AD42EA">
            <wp:extent cx="1918970" cy="1140460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140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ECED17" wp14:editId="3A505C47">
            <wp:extent cx="1851660" cy="1061085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61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37" w:rsidRPr="00BD7EE4" w:rsidRDefault="00992E37" w:rsidP="00992E37">
      <w:pPr>
        <w:jc w:val="both"/>
      </w:pPr>
      <w:r w:rsidRPr="00BD7EE4">
        <w:t>Effetti pro-depressivi di Aß, da Colaianna et al., 2010.</w:t>
      </w:r>
    </w:p>
    <w:p w:rsidR="00992E37" w:rsidRPr="00BD7EE4" w:rsidRDefault="00992E37" w:rsidP="00992E37">
      <w:pPr>
        <w:jc w:val="both"/>
      </w:pPr>
    </w:p>
    <w:p w:rsidR="00992E37" w:rsidRDefault="00992E37" w:rsidP="00992E37">
      <w:pPr>
        <w:spacing w:after="120"/>
        <w:ind w:right="1000"/>
        <w:jc w:val="both"/>
      </w:pPr>
      <w:r>
        <w:t>Inoltre numerosi studi di letteratura indicano lo stesso legame nei topi (</w:t>
      </w:r>
      <w:r w:rsidRPr="00B03AAC">
        <w:t>Cross Talk Between Brain Innate Immunity and Serotonin Signaling Underlies Depressive-Like Behavior Induced by Alzheimer's Amyloid-β Oligomers in Mice</w:t>
      </w:r>
      <w:r>
        <w:t xml:space="preserve">, </w:t>
      </w:r>
      <w:r w:rsidRPr="00B03AAC">
        <w:t>Ledo</w:t>
      </w:r>
      <w:r>
        <w:t xml:space="preserve"> et al.</w:t>
      </w:r>
      <w:r w:rsidRPr="00B03AAC">
        <w:t>, J Neurosci. 2016 Nov 30; 36(48): 12106–12116.  doi: 10.1523/JNEUROSCI.1269-16.2016</w:t>
      </w:r>
      <w:r>
        <w:t>)</w:t>
      </w:r>
    </w:p>
    <w:p w:rsidR="00992E37" w:rsidRPr="00BD7EE4" w:rsidRDefault="00992E37" w:rsidP="00992E37">
      <w:pPr>
        <w:spacing w:after="120"/>
        <w:ind w:right="1000"/>
        <w:jc w:val="both"/>
      </w:pPr>
      <w:r w:rsidRPr="00B8772B">
        <w:t xml:space="preserve">Nel presente progetto si intende verificare se la somministrazione di una miscela vegetale composta di acidi boswellici 11.keto-beta-boswellico (KBA) e acetil-11-keto-beta- boswellico (AKBA) induca variazioni nei meccanismi molecolari che regolano il tono dell'umore e la formazione della memoria. Successivamente, e solo nel caso si siano riscontrati effetti, si procederà alla valutazione degli effetti degli acidi boswellici nel modello sperimentale ottenuto </w:t>
      </w:r>
      <w:r w:rsidRPr="00B8772B">
        <w:lastRenderedPageBreak/>
        <w:t>tramite somministrazione intracerebroventricolare (icv) di beta-amiloide.</w:t>
      </w:r>
      <w:r>
        <w:t xml:space="preserve"> Per considerare gli effetti di genere, le prove saranno effettuate anche su ratti femmine.</w:t>
      </w:r>
    </w:p>
    <w:p w:rsidR="00992E37" w:rsidRPr="00992E37" w:rsidRDefault="00992E37" w:rsidP="00992E37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F785C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Giustificazione del</w:t>
      </w:r>
      <w:r>
        <w:rPr>
          <w:rFonts w:ascii="Times New Roman" w:hAnsi="Times New Roman"/>
          <w:sz w:val="24"/>
        </w:rPr>
        <w:t>/dei</w:t>
      </w:r>
      <w:r w:rsidRPr="00A757CD">
        <w:rPr>
          <w:rFonts w:ascii="Times New Roman" w:hAnsi="Times New Roman"/>
          <w:sz w:val="24"/>
        </w:rPr>
        <w:t xml:space="preserve"> modello</w:t>
      </w:r>
      <w:r>
        <w:rPr>
          <w:rFonts w:ascii="Times New Roman" w:hAnsi="Times New Roman"/>
          <w:sz w:val="24"/>
        </w:rPr>
        <w:t>/i</w:t>
      </w:r>
      <w:r w:rsidRPr="00A757CD">
        <w:rPr>
          <w:rFonts w:ascii="Times New Roman" w:hAnsi="Times New Roman"/>
          <w:sz w:val="24"/>
        </w:rPr>
        <w:t xml:space="preserve"> animale</w:t>
      </w:r>
      <w:r>
        <w:rPr>
          <w:rFonts w:ascii="Times New Roman" w:hAnsi="Times New Roman"/>
          <w:sz w:val="24"/>
        </w:rPr>
        <w:t>;</w:t>
      </w:r>
    </w:p>
    <w:p w:rsidR="00992E37" w:rsidRDefault="00992E37" w:rsidP="00992E37">
      <w:pPr>
        <w:pStyle w:val="Corpotesto"/>
        <w:spacing w:before="5" w:line="247" w:lineRule="auto"/>
        <w:ind w:left="470" w:right="112"/>
        <w:jc w:val="both"/>
        <w:rPr>
          <w:lang w:val="it-IT"/>
        </w:rPr>
      </w:pPr>
    </w:p>
    <w:p w:rsidR="00992E37" w:rsidRPr="00992E37" w:rsidRDefault="00992E37" w:rsidP="00992E37">
      <w:pPr>
        <w:spacing w:line="360" w:lineRule="auto"/>
        <w:jc w:val="both"/>
        <w:rPr>
          <w:rFonts w:ascii="Times New Roman" w:hAnsi="Times New Roman"/>
          <w:sz w:val="24"/>
        </w:rPr>
      </w:pPr>
      <w:r w:rsidRPr="00992E37">
        <w:rPr>
          <w:rFonts w:ascii="Times New Roman" w:hAnsi="Times New Roman"/>
          <w:sz w:val="24"/>
        </w:rPr>
        <w:t>L’uso dei ratti e dei topi è indispensabile per perseguire gli obiettivi del progetto in quanto consente uno studio di tipo pre-clinico e controllato. La scelta di queste specie animali è relativa alla buona prestazione cognitiva e comportamentale di questa specie ed alle buone performances in task a valenza emotiva. Risultano essere le specie a minor sviluppo neurologico per la riproduzione di patologie psichiatriche complesse come quelle che si originano da alterazioni della sfera sociale. Essendo lo studio volto a studiare risposte neuroendocrine e neurocomportamentali essenzialmente di tipo emozionale non sono disponibili metodi alternativi compatibili con l’obiettivo dello studio.</w:t>
      </w:r>
    </w:p>
    <w:p w:rsidR="004F785C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757CD">
        <w:rPr>
          <w:rFonts w:ascii="Times New Roman" w:hAnsi="Times New Roman"/>
          <w:sz w:val="24"/>
        </w:rPr>
        <w:t>Risultati attesi e contributo al miglioramento delle conoscenze scientifiche nel settore della salute umana, animale e dell’ambiente</w:t>
      </w:r>
      <w:r>
        <w:rPr>
          <w:rFonts w:ascii="Times New Roman" w:hAnsi="Times New Roman"/>
          <w:sz w:val="24"/>
        </w:rPr>
        <w:t>;</w:t>
      </w:r>
    </w:p>
    <w:p w:rsidR="00992E37" w:rsidRPr="00BD7EE4" w:rsidRDefault="00992E37" w:rsidP="00992E37">
      <w:pPr>
        <w:jc w:val="both"/>
      </w:pPr>
      <w:r w:rsidRPr="00BD7EE4">
        <w:t>Gli acidi boswellici 11.keto-beta-boswellico (KBA) e acetil-11-keto-beta- boswellico (AKBA) possono rappresentare nuovi composti nella terapia dell</w:t>
      </w:r>
      <w:r>
        <w:t>a depressione e dei disturbi cognitivi</w:t>
      </w:r>
      <w:r w:rsidRPr="00BD7EE4">
        <w:t>.</w:t>
      </w:r>
      <w:r>
        <w:t xml:space="preserve"> Questo permetterebbe un m</w:t>
      </w:r>
      <w:r w:rsidRPr="00BD7EE4">
        <w:t>iglioramento delle terapie attuali nell’ambito psichiatrico e neurologico</w:t>
      </w:r>
      <w:r>
        <w:t xml:space="preserve"> e p</w:t>
      </w:r>
      <w:r w:rsidRPr="00BD7EE4">
        <w:t xml:space="preserve">otrebbe portare alla commercializzazione di farmaci antidepressivi </w:t>
      </w:r>
      <w:r>
        <w:t xml:space="preserve">e nootropi </w:t>
      </w:r>
      <w:r w:rsidRPr="00BD7EE4">
        <w:t>nuovi.</w:t>
      </w:r>
    </w:p>
    <w:p w:rsidR="00992E37" w:rsidRPr="00992E37" w:rsidRDefault="00992E37" w:rsidP="00992E37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F785C" w:rsidRPr="00752BFF" w:rsidRDefault="004F785C" w:rsidP="004F785C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52BFF">
        <w:rPr>
          <w:rFonts w:ascii="Times New Roman" w:hAnsi="Times New Roman"/>
          <w:sz w:val="24"/>
        </w:rPr>
        <w:t>Referenze/Bibliografia</w:t>
      </w:r>
      <w:r>
        <w:rPr>
          <w:rFonts w:ascii="Times New Roman" w:hAnsi="Times New Roman"/>
          <w:sz w:val="24"/>
        </w:rPr>
        <w:t>.</w:t>
      </w:r>
    </w:p>
    <w:p w:rsidR="004F785C" w:rsidRDefault="00992E37" w:rsidP="004F785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 testo.</w:t>
      </w:r>
      <w:bookmarkStart w:id="0" w:name="_GoBack"/>
      <w:bookmarkEnd w:id="0"/>
    </w:p>
    <w:p w:rsidR="004F785C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jc w:val="both"/>
        <w:rPr>
          <w:rFonts w:ascii="Times New Roman" w:hAnsi="Times New Roman"/>
          <w:sz w:val="24"/>
        </w:rPr>
      </w:pPr>
    </w:p>
    <w:p w:rsidR="004F785C" w:rsidRPr="00A757CD" w:rsidRDefault="004F785C" w:rsidP="004F785C">
      <w:pPr>
        <w:jc w:val="both"/>
        <w:rPr>
          <w:rFonts w:ascii="Times New Roman" w:hAnsi="Times New Roman"/>
          <w:i/>
          <w:sz w:val="24"/>
        </w:rPr>
      </w:pPr>
    </w:p>
    <w:p w:rsidR="00A90510" w:rsidRDefault="00A90510"/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8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C4F16F3"/>
    <w:multiLevelType w:val="hybridMultilevel"/>
    <w:tmpl w:val="95A42CAA"/>
    <w:lvl w:ilvl="0" w:tplc="CF349E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5C"/>
    <w:rsid w:val="004F785C"/>
    <w:rsid w:val="00992E37"/>
    <w:rsid w:val="00A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4809"/>
  <w15:chartTrackingRefBased/>
  <w15:docId w15:val="{5B3952FA-3D3B-41D1-9C3A-EC84DF0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8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85C"/>
    <w:pPr>
      <w:ind w:left="720"/>
      <w:contextualSpacing/>
    </w:pPr>
  </w:style>
  <w:style w:type="paragraph" w:styleId="Corpotesto">
    <w:name w:val="Body Text"/>
    <w:basedOn w:val="Normale"/>
    <w:link w:val="CorpotestoCarattere1"/>
    <w:uiPriority w:val="1"/>
    <w:qFormat/>
    <w:rsid w:val="00992E37"/>
    <w:pPr>
      <w:suppressAutoHyphens/>
      <w:spacing w:after="0" w:line="240" w:lineRule="auto"/>
    </w:pPr>
    <w:rPr>
      <w:rFonts w:ascii="Times New Roman" w:eastAsia="SimSun" w:hAnsi="Times New Roman" w:cs="Arial Unicode MS"/>
      <w:color w:val="00000A"/>
      <w:kern w:val="1"/>
      <w:sz w:val="24"/>
      <w:szCs w:val="24"/>
      <w:lang w:val="en-US" w:eastAsia="hi-IN" w:bidi="hi-IN"/>
    </w:rPr>
  </w:style>
  <w:style w:type="character" w:customStyle="1" w:styleId="CorpotestoCarattere">
    <w:name w:val="Corpo testo Carattere"/>
    <w:basedOn w:val="Carpredefinitoparagrafo"/>
    <w:uiPriority w:val="99"/>
    <w:semiHidden/>
    <w:rsid w:val="00992E37"/>
    <w:rPr>
      <w:rFonts w:ascii="Calibri" w:eastAsia="Calibri" w:hAnsi="Calibri" w:cs="Times New Roman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992E37"/>
    <w:rPr>
      <w:rFonts w:ascii="Times New Roman" w:eastAsia="SimSun" w:hAnsi="Times New Roman" w:cs="Arial Unicode MS"/>
      <w:color w:val="00000A"/>
      <w:kern w:val="1"/>
      <w:sz w:val="24"/>
      <w:szCs w:val="24"/>
      <w:lang w:val="en-US" w:eastAsia="hi-IN" w:bidi="hi-IN"/>
    </w:rPr>
  </w:style>
  <w:style w:type="paragraph" w:customStyle="1" w:styleId="Paragrafoelenco1">
    <w:name w:val="Paragrafo elenco1"/>
    <w:basedOn w:val="Normale"/>
    <w:rsid w:val="00992E37"/>
    <w:pPr>
      <w:suppressAutoHyphens/>
      <w:spacing w:after="0" w:line="240" w:lineRule="auto"/>
      <w:ind w:left="720"/>
    </w:pPr>
    <w:rPr>
      <w:rFonts w:ascii="Times New Roman" w:eastAsia="SimSun" w:hAnsi="Times New Roman" w:cs="Arial Unicode M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27340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 Marija</dc:creator>
  <cp:keywords/>
  <dc:description/>
  <cp:lastModifiedBy>Microsoft Office User</cp:lastModifiedBy>
  <cp:revision>2</cp:revision>
  <dcterms:created xsi:type="dcterms:W3CDTF">2015-03-19T09:53:00Z</dcterms:created>
  <dcterms:modified xsi:type="dcterms:W3CDTF">2019-12-19T11:59:00Z</dcterms:modified>
</cp:coreProperties>
</file>